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73" w:rsidRPr="00805873" w:rsidRDefault="00805873" w:rsidP="00805873">
      <w:pPr>
        <w:shd w:val="clear" w:color="auto" w:fill="FFFFFF"/>
        <w:spacing w:after="0" w:line="408" w:lineRule="atLeast"/>
        <w:outlineLvl w:val="0"/>
        <w:rPr>
          <w:rFonts w:ascii="Tahoma" w:eastAsia="Times New Roman" w:hAnsi="Tahoma" w:cs="Tahoma"/>
          <w:color w:val="696969"/>
          <w:kern w:val="36"/>
          <w:sz w:val="24"/>
          <w:szCs w:val="24"/>
        </w:rPr>
      </w:pPr>
      <w:r w:rsidRPr="00805873">
        <w:rPr>
          <w:rFonts w:ascii="Tahoma" w:eastAsia="Times New Roman" w:hAnsi="Tahoma" w:cs="Tahoma"/>
          <w:color w:val="696969"/>
          <w:kern w:val="36"/>
          <w:sz w:val="24"/>
          <w:szCs w:val="24"/>
        </w:rPr>
        <w:t>Пункт 19.4</w:t>
      </w:r>
    </w:p>
    <w:p w:rsidR="00805873" w:rsidRPr="00805873" w:rsidRDefault="00805873" w:rsidP="00805873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5873" w:rsidRPr="00805873" w:rsidRDefault="00805873" w:rsidP="00805873">
      <w:pPr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19.4.</w:t>
      </w:r>
      <w:r w:rsidRPr="00805873">
        <w:rPr>
          <w:rFonts w:ascii="Tahoma" w:eastAsia="Times New Roman" w:hAnsi="Tahoma" w:cs="Tahoma"/>
          <w:color w:val="000000"/>
          <w:sz w:val="24"/>
          <w:szCs w:val="24"/>
        </w:rPr>
        <w:t> Противотуманные фары могут использоваться:</w:t>
      </w:r>
    </w:p>
    <w:p w:rsidR="00805873" w:rsidRPr="00805873" w:rsidRDefault="00805873" w:rsidP="00805873">
      <w:pPr>
        <w:numPr>
          <w:ilvl w:val="0"/>
          <w:numId w:val="22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в условиях недостаточной видимости с ближним или дальним светом фар;</w:t>
      </w:r>
    </w:p>
    <w:p w:rsidR="00805873" w:rsidRPr="00805873" w:rsidRDefault="00805873" w:rsidP="00805873">
      <w:pPr>
        <w:numPr>
          <w:ilvl w:val="0"/>
          <w:numId w:val="22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в темное время суток на неосвещенных участках дорог совместно с ближним или дальним светом фар:</w:t>
      </w:r>
    </w:p>
    <w:p w:rsidR="00805873" w:rsidRPr="00805873" w:rsidRDefault="00805873" w:rsidP="00805873">
      <w:pPr>
        <w:numPr>
          <w:ilvl w:val="0"/>
          <w:numId w:val="22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вместо ближнего света фар в соответствии с пунктом 19.5 Правил.</w:t>
      </w:r>
    </w:p>
    <w:p w:rsidR="00805873" w:rsidRPr="00805873" w:rsidRDefault="00805873" w:rsidP="00805873">
      <w:pPr>
        <w:spacing w:before="190" w:after="190" w:line="28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805873">
        <w:rPr>
          <w:rFonts w:ascii="Tahoma" w:eastAsia="Times New Roman" w:hAnsi="Tahoma" w:cs="Tahoma"/>
          <w:color w:val="696969"/>
          <w:sz w:val="24"/>
          <w:szCs w:val="24"/>
        </w:rPr>
        <w:t>Штрафы</w:t>
      </w:r>
    </w:p>
    <w:p w:rsidR="00805873" w:rsidRPr="00805873" w:rsidRDefault="00805873" w:rsidP="00805873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Нарушение правил пользования внешними световыми приборами влечёт предупреждение или наложение административного штрафа в размере 100 рублей (КоАП, ст. 12.20).</w:t>
      </w:r>
    </w:p>
    <w:p w:rsidR="00805873" w:rsidRPr="00805873" w:rsidRDefault="00805873" w:rsidP="00805873">
      <w:pPr>
        <w:spacing w:before="190" w:after="190" w:line="28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805873">
        <w:rPr>
          <w:rFonts w:ascii="Tahoma" w:eastAsia="Times New Roman" w:hAnsi="Tahoma" w:cs="Tahoma"/>
          <w:color w:val="696969"/>
          <w:sz w:val="24"/>
          <w:szCs w:val="24"/>
        </w:rPr>
        <w:t>Комментарии</w:t>
      </w:r>
    </w:p>
    <w:p w:rsidR="00805873" w:rsidRPr="00805873" w:rsidRDefault="00805873" w:rsidP="00805873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Запомните:</w:t>
      </w:r>
    </w:p>
    <w:p w:rsidR="00805873" w:rsidRPr="00805873" w:rsidRDefault="00805873" w:rsidP="00805873">
      <w:pPr>
        <w:numPr>
          <w:ilvl w:val="0"/>
          <w:numId w:val="23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в зависимости от условий видимости водитель вправе сам принимать решение, какие внешние световые приборы из перечисленных в данном пункте Правил он может использовать;</w:t>
      </w:r>
    </w:p>
    <w:p w:rsidR="00805873" w:rsidRPr="00805873" w:rsidRDefault="00805873" w:rsidP="00805873">
      <w:pPr>
        <w:numPr>
          <w:ilvl w:val="0"/>
          <w:numId w:val="23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поскольку в светлое время суток включение внешних световых приборов служит лишь средством для обозначения определенных ТС, правила допускают вместо ближнего света использовать противотуманные фары.</w:t>
      </w:r>
    </w:p>
    <w:p w:rsidR="00805873" w:rsidRPr="00805873" w:rsidRDefault="00805873" w:rsidP="00805873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Противотуманные фары позволяют за счёт своего низкого расположения и широкого светового пучка освещать не только проезжую часть, но и ее кромку, что особенно важно в условиях плохой видимости. Рассеиватели этих фар могут быть желтыми или бесцветными. Устанавливают противотуманные фары только в строго определенных местах ТС. При этом важно учитывать, что:</w:t>
      </w:r>
    </w:p>
    <w:p w:rsidR="00805873" w:rsidRPr="00805873" w:rsidRDefault="00805873" w:rsidP="00805873">
      <w:pPr>
        <w:numPr>
          <w:ilvl w:val="0"/>
          <w:numId w:val="24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не допускается установка одной противотуманной фары, так как при этом водитель встречного транспортного средства в темноте может принять автомобиль за мотоцикл, что создаст угрозу столкновения;</w:t>
      </w:r>
    </w:p>
    <w:p w:rsidR="00805873" w:rsidRPr="00805873" w:rsidRDefault="00805873" w:rsidP="00805873">
      <w:pPr>
        <w:numPr>
          <w:ilvl w:val="0"/>
          <w:numId w:val="24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обычные автомобильные или мотоциклетные фары, установленные дополнительно к основным, не могут выполнять функции противотуманных фар и использоваться для этой цели.</w:t>
      </w:r>
    </w:p>
    <w:p w:rsidR="00805873" w:rsidRPr="00805873" w:rsidRDefault="00805873" w:rsidP="00805873">
      <w:pPr>
        <w:spacing w:before="190" w:after="190" w:line="28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805873">
        <w:rPr>
          <w:rFonts w:ascii="Tahoma" w:eastAsia="Times New Roman" w:hAnsi="Tahoma" w:cs="Tahoma"/>
          <w:color w:val="696969"/>
          <w:sz w:val="24"/>
          <w:szCs w:val="24"/>
        </w:rPr>
        <w:t>Советы</w:t>
      </w:r>
    </w:p>
    <w:p w:rsidR="00805873" w:rsidRPr="00805873" w:rsidRDefault="00805873" w:rsidP="00805873">
      <w:pPr>
        <w:numPr>
          <w:ilvl w:val="0"/>
          <w:numId w:val="25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в тумане расстояние до предметов кажется в два раза дальше, чем в действительности. Поэтому при передвижении в тумане следует снизить скорость, включить подфарники или противотуманные фонари и постараться обойтись без обгонов, а самое главное - увеличить интервалы;</w:t>
      </w:r>
    </w:p>
    <w:p w:rsidR="00805873" w:rsidRPr="00805873" w:rsidRDefault="00805873" w:rsidP="00805873">
      <w:pPr>
        <w:numPr>
          <w:ilvl w:val="0"/>
          <w:numId w:val="25"/>
        </w:numPr>
        <w:spacing w:before="54" w:after="0" w:line="245" w:lineRule="atLeast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805873">
        <w:rPr>
          <w:rFonts w:ascii="Tahoma" w:eastAsia="Times New Roman" w:hAnsi="Tahoma" w:cs="Tahoma"/>
          <w:color w:val="000000"/>
          <w:sz w:val="24"/>
          <w:szCs w:val="24"/>
        </w:rPr>
        <w:t>перед началом движения в условиях тумана протрите все фары и габаритные фонари автомобиля от грязи. Освещенность дороги и видимость машины другими транспортными средствами критична в тумане.</w:t>
      </w:r>
    </w:p>
    <w:p w:rsidR="0086538D" w:rsidRPr="00805873" w:rsidRDefault="0086538D" w:rsidP="00805873">
      <w:pPr>
        <w:rPr>
          <w:sz w:val="24"/>
          <w:szCs w:val="24"/>
        </w:rPr>
      </w:pPr>
    </w:p>
    <w:sectPr w:rsidR="0086538D" w:rsidRPr="00805873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15" w:rsidRDefault="00042515" w:rsidP="00D11D28">
      <w:pPr>
        <w:spacing w:after="0" w:line="240" w:lineRule="auto"/>
      </w:pPr>
      <w:r>
        <w:separator/>
      </w:r>
    </w:p>
  </w:endnote>
  <w:endnote w:type="continuationSeparator" w:id="1">
    <w:p w:rsidR="00042515" w:rsidRDefault="00042515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15" w:rsidRDefault="00042515" w:rsidP="00D11D28">
      <w:pPr>
        <w:spacing w:after="0" w:line="240" w:lineRule="auto"/>
      </w:pPr>
      <w:r>
        <w:separator/>
      </w:r>
    </w:p>
  </w:footnote>
  <w:footnote w:type="continuationSeparator" w:id="1">
    <w:p w:rsidR="00042515" w:rsidRDefault="00042515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4"/>
  </w:num>
  <w:num w:numId="5">
    <w:abstractNumId w:val="10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2515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931C3"/>
    <w:rsid w:val="004A51B2"/>
    <w:rsid w:val="004D3148"/>
    <w:rsid w:val="00513F8F"/>
    <w:rsid w:val="005829DB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6259"/>
    <w:rsid w:val="00E4020F"/>
    <w:rsid w:val="00EB231F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87</cp:revision>
  <dcterms:created xsi:type="dcterms:W3CDTF">2015-06-30T14:50:00Z</dcterms:created>
  <dcterms:modified xsi:type="dcterms:W3CDTF">2015-07-21T12:26:00Z</dcterms:modified>
</cp:coreProperties>
</file>