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A2" w:rsidRPr="003605A2" w:rsidRDefault="003605A2" w:rsidP="003605A2">
      <w:pPr>
        <w:pStyle w:val="a3"/>
        <w:jc w:val="center"/>
        <w:rPr>
          <w:rFonts w:ascii="Verdana" w:hAnsi="Verdana"/>
        </w:rPr>
      </w:pPr>
      <w:r w:rsidRPr="003605A2">
        <w:rPr>
          <w:rStyle w:val="txt12"/>
          <w:rFonts w:ascii="Verdana" w:hAnsi="Verdana"/>
          <w:b/>
          <w:bCs/>
        </w:rPr>
        <w:t>ГРАЖДАНСКИЙ КОДЕКС</w:t>
      </w:r>
      <w:r w:rsidRPr="003605A2">
        <w:rPr>
          <w:rFonts w:ascii="Verdana" w:hAnsi="Verdana"/>
          <w:b/>
          <w:bCs/>
        </w:rPr>
        <w:br/>
      </w:r>
      <w:r w:rsidRPr="003605A2">
        <w:rPr>
          <w:rFonts w:ascii="Verdana" w:hAnsi="Verdana"/>
          <w:b/>
          <w:bCs/>
        </w:rPr>
        <w:br/>
      </w:r>
      <w:r w:rsidRPr="003605A2">
        <w:rPr>
          <w:rStyle w:val="txt10"/>
          <w:rFonts w:ascii="Verdana" w:hAnsi="Verdana"/>
          <w:b/>
          <w:bCs/>
        </w:rPr>
        <w:t>Статья 1079</w:t>
      </w:r>
      <w:r w:rsidRPr="003605A2">
        <w:rPr>
          <w:rFonts w:ascii="Verdana" w:hAnsi="Verdana"/>
        </w:rPr>
        <w:t>.</w:t>
      </w:r>
    </w:p>
    <w:tbl>
      <w:tblPr>
        <w:tblW w:w="0" w:type="auto"/>
        <w:tblCellSpacing w:w="15" w:type="dxa"/>
        <w:tblInd w:w="272" w:type="dxa"/>
        <w:tblCellMar>
          <w:top w:w="15" w:type="dxa"/>
          <w:left w:w="15" w:type="dxa"/>
          <w:bottom w:w="15" w:type="dxa"/>
          <w:right w:w="15" w:type="dxa"/>
        </w:tblCellMar>
        <w:tblLook w:val="04A0"/>
      </w:tblPr>
      <w:tblGrid>
        <w:gridCol w:w="9173"/>
      </w:tblGrid>
      <w:tr w:rsidR="003605A2" w:rsidRPr="003605A2" w:rsidTr="003605A2">
        <w:trPr>
          <w:tblCellSpacing w:w="15" w:type="dxa"/>
        </w:trPr>
        <w:tc>
          <w:tcPr>
            <w:tcW w:w="0" w:type="auto"/>
            <w:vAlign w:val="center"/>
            <w:hideMark/>
          </w:tcPr>
          <w:p w:rsidR="003605A2" w:rsidRPr="003605A2" w:rsidRDefault="003605A2">
            <w:pPr>
              <w:pStyle w:val="txt121"/>
              <w:jc w:val="center"/>
              <w:rPr>
                <w:rFonts w:ascii="Verdana" w:hAnsi="Verdana"/>
                <w:b/>
                <w:bCs/>
              </w:rPr>
            </w:pPr>
            <w:r w:rsidRPr="003605A2">
              <w:rPr>
                <w:rFonts w:ascii="Verdana" w:hAnsi="Verdana"/>
                <w:b/>
                <w:bCs/>
              </w:rPr>
              <w:t>Ответственность за вред, причиненный</w:t>
            </w:r>
            <w:r w:rsidRPr="003605A2">
              <w:rPr>
                <w:rFonts w:ascii="Verdana" w:hAnsi="Verdana"/>
                <w:b/>
                <w:bCs/>
              </w:rPr>
              <w:br/>
              <w:t>деятельностью, создающей повышенную опасность для</w:t>
            </w:r>
            <w:r w:rsidRPr="003605A2">
              <w:rPr>
                <w:rFonts w:ascii="Verdana" w:hAnsi="Verdana"/>
                <w:b/>
                <w:bCs/>
              </w:rPr>
              <w:br/>
              <w:t>окружающих</w:t>
            </w:r>
          </w:p>
          <w:p w:rsidR="003605A2" w:rsidRPr="003605A2" w:rsidRDefault="003605A2">
            <w:pPr>
              <w:pStyle w:val="a3"/>
              <w:rPr>
                <w:rFonts w:ascii="Verdana" w:hAnsi="Verdana"/>
              </w:rPr>
            </w:pPr>
            <w:r w:rsidRPr="003605A2">
              <w:rPr>
                <w:rFonts w:ascii="Verdana" w:hAnsi="Verdana"/>
              </w:rPr>
              <w:t> </w:t>
            </w:r>
          </w:p>
        </w:tc>
      </w:tr>
      <w:tr w:rsidR="003605A2" w:rsidRPr="003605A2" w:rsidTr="003605A2">
        <w:trPr>
          <w:tblCellSpacing w:w="15" w:type="dxa"/>
        </w:trPr>
        <w:tc>
          <w:tcPr>
            <w:tcW w:w="0" w:type="auto"/>
            <w:vAlign w:val="center"/>
            <w:hideMark/>
          </w:tcPr>
          <w:p w:rsidR="003605A2" w:rsidRPr="003605A2" w:rsidRDefault="003605A2">
            <w:pPr>
              <w:pStyle w:val="txt101"/>
              <w:rPr>
                <w:rFonts w:ascii="Verdana" w:hAnsi="Verdana"/>
                <w:b/>
                <w:bCs/>
              </w:rPr>
            </w:pPr>
            <w:bookmarkStart w:id="0" w:name="p1"/>
            <w:bookmarkEnd w:id="0"/>
            <w:r w:rsidRPr="003605A2">
              <w:rPr>
                <w:rFonts w:ascii="Verdana" w:hAnsi="Verdana"/>
                <w:b/>
                <w:bCs/>
              </w:rP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r w:rsidRPr="003605A2">
              <w:rPr>
                <w:rStyle w:val="apple-converted-space"/>
                <w:rFonts w:ascii="Verdana" w:hAnsi="Verdana"/>
                <w:b/>
                <w:bCs/>
              </w:rPr>
              <w:t> </w:t>
            </w:r>
            <w:r w:rsidRPr="003605A2">
              <w:rPr>
                <w:rFonts w:ascii="Verdana" w:hAnsi="Verdana"/>
                <w:b/>
                <w:bCs/>
              </w:rPr>
              <w:br/>
            </w:r>
            <w:r w:rsidRPr="003605A2">
              <w:rPr>
                <w:rFonts w:ascii="Verdana" w:hAnsi="Verdana"/>
                <w:b/>
                <w:bCs/>
              </w:rPr>
              <w:br/>
            </w:r>
            <w:bookmarkStart w:id="1" w:name="p1a2"/>
            <w:bookmarkEnd w:id="1"/>
            <w:r w:rsidRPr="003605A2">
              <w:rPr>
                <w:rFonts w:ascii="Verdana" w:hAnsi="Verdana"/>
                <w:b/>
                <w:bCs/>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r w:rsidRPr="003605A2">
              <w:rPr>
                <w:rStyle w:val="apple-converted-space"/>
                <w:rFonts w:ascii="Verdana" w:hAnsi="Verdana"/>
                <w:b/>
                <w:bCs/>
              </w:rPr>
              <w:t> </w:t>
            </w:r>
            <w:r w:rsidRPr="003605A2">
              <w:rPr>
                <w:rFonts w:ascii="Verdana" w:hAnsi="Verdana"/>
                <w:b/>
                <w:bCs/>
              </w:rPr>
              <w:br/>
            </w:r>
            <w:r w:rsidRPr="003605A2">
              <w:rPr>
                <w:rFonts w:ascii="Verdana" w:hAnsi="Verdana"/>
                <w:b/>
                <w:bCs/>
              </w:rPr>
              <w:br/>
            </w:r>
            <w:bookmarkStart w:id="2" w:name="p2"/>
            <w:bookmarkEnd w:id="2"/>
            <w:r w:rsidRPr="003605A2">
              <w:rPr>
                <w:rFonts w:ascii="Verdana" w:hAnsi="Verdana"/>
                <w:b/>
                <w:bCs/>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r w:rsidRPr="003605A2">
              <w:rPr>
                <w:rStyle w:val="apple-converted-space"/>
                <w:rFonts w:ascii="Verdana" w:hAnsi="Verdana"/>
                <w:b/>
                <w:bCs/>
              </w:rPr>
              <w:t> </w:t>
            </w:r>
            <w:r w:rsidRPr="003605A2">
              <w:rPr>
                <w:rFonts w:ascii="Verdana" w:hAnsi="Verdana"/>
                <w:b/>
                <w:bCs/>
              </w:rPr>
              <w:br/>
            </w:r>
            <w:r w:rsidRPr="003605A2">
              <w:rPr>
                <w:rFonts w:ascii="Verdana" w:hAnsi="Verdana"/>
                <w:b/>
                <w:bCs/>
              </w:rPr>
              <w:br/>
            </w:r>
            <w:bookmarkStart w:id="3" w:name="p3"/>
            <w:bookmarkEnd w:id="3"/>
            <w:r w:rsidRPr="003605A2">
              <w:rPr>
                <w:rFonts w:ascii="Verdana" w:hAnsi="Verdana"/>
                <w:b/>
                <w:bCs/>
              </w:rP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r w:rsidRPr="003605A2">
              <w:rPr>
                <w:rStyle w:val="apple-converted-space"/>
                <w:rFonts w:ascii="Verdana" w:hAnsi="Verdana"/>
                <w:b/>
                <w:bCs/>
              </w:rPr>
              <w:t> </w:t>
            </w:r>
            <w:r w:rsidRPr="003605A2">
              <w:rPr>
                <w:rFonts w:ascii="Verdana" w:hAnsi="Verdana"/>
                <w:b/>
                <w:bCs/>
              </w:rPr>
              <w:br/>
            </w:r>
            <w:r w:rsidRPr="003605A2">
              <w:rPr>
                <w:rFonts w:ascii="Verdana" w:hAnsi="Verdana"/>
                <w:b/>
                <w:bCs/>
              </w:rPr>
              <w:lastRenderedPageBreak/>
              <w:br/>
              <w:t>Вред, причиненный в результате взаимодействия источников повышенной опасности их владельцам, возмещается на общих основаниях (</w:t>
            </w:r>
            <w:hyperlink r:id="rId7" w:tgtFrame="_blank" w:history="1">
              <w:r w:rsidRPr="003605A2">
                <w:rPr>
                  <w:rStyle w:val="a5"/>
                  <w:rFonts w:ascii="Verdana" w:hAnsi="Verdana"/>
                  <w:b/>
                  <w:bCs/>
                  <w:color w:val="auto"/>
                </w:rPr>
                <w:t>статья 1064</w:t>
              </w:r>
            </w:hyperlink>
            <w:r w:rsidRPr="003605A2">
              <w:rPr>
                <w:rFonts w:ascii="Verdana" w:hAnsi="Verdana"/>
                <w:b/>
                <w:bCs/>
              </w:rPr>
              <w:t>).</w:t>
            </w:r>
          </w:p>
        </w:tc>
      </w:tr>
      <w:tr w:rsidR="003605A2" w:rsidRPr="003605A2" w:rsidTr="003605A2">
        <w:trPr>
          <w:tblCellSpacing w:w="15" w:type="dxa"/>
        </w:trPr>
        <w:tc>
          <w:tcPr>
            <w:tcW w:w="0" w:type="auto"/>
            <w:shd w:val="clear" w:color="auto" w:fill="FFFFFF"/>
            <w:vAlign w:val="center"/>
            <w:hideMark/>
          </w:tcPr>
          <w:p w:rsidR="003605A2" w:rsidRPr="003605A2" w:rsidRDefault="003605A2">
            <w:pPr>
              <w:pStyle w:val="txt121"/>
              <w:rPr>
                <w:rFonts w:ascii="Verdana" w:hAnsi="Verdana"/>
                <w:b/>
                <w:bCs/>
              </w:rPr>
            </w:pPr>
            <w:bookmarkStart w:id="4" w:name="k"/>
            <w:r w:rsidRPr="003605A2">
              <w:rPr>
                <w:rFonts w:ascii="Verdana" w:hAnsi="Verdana"/>
                <w:b/>
                <w:bCs/>
              </w:rPr>
              <w:lastRenderedPageBreak/>
              <w:t>Комментарий к статье</w:t>
            </w:r>
            <w:bookmarkEnd w:id="4"/>
          </w:p>
        </w:tc>
      </w:tr>
      <w:tr w:rsidR="003605A2" w:rsidRPr="003605A2" w:rsidTr="003605A2">
        <w:trPr>
          <w:tblCellSpacing w:w="15" w:type="dxa"/>
        </w:trPr>
        <w:tc>
          <w:tcPr>
            <w:tcW w:w="0" w:type="auto"/>
            <w:shd w:val="clear" w:color="auto" w:fill="FFFFFF"/>
            <w:vAlign w:val="center"/>
            <w:hideMark/>
          </w:tcPr>
          <w:p w:rsidR="003605A2" w:rsidRPr="003605A2" w:rsidRDefault="003605A2">
            <w:pPr>
              <w:pStyle w:val="txt101"/>
              <w:rPr>
                <w:rFonts w:ascii="Verdana" w:hAnsi="Verdana"/>
                <w:b/>
                <w:bCs/>
              </w:rPr>
            </w:pPr>
            <w:bookmarkStart w:id="5" w:name="k1"/>
            <w:bookmarkEnd w:id="5"/>
            <w:r w:rsidRPr="003605A2">
              <w:rPr>
                <w:rFonts w:ascii="Verdana" w:hAnsi="Verdana"/>
                <w:b/>
                <w:bCs/>
              </w:rPr>
              <w:t>1.Источником повышенной опасности признается любая деятельность, осуществление которой создает повышенную вероятность причинения вреда из-за невозможности полного контроля за ней со стороны человека, а также деятельность по использованию, транспортировке, хранению предметов, веществ и иных объектов производственного, хозяйственного или иного назначения, обладающих такими же свойствами. Имущественная ответственность за вред, причиненный действием таких источников, должна наступать как при целенаправленном их использовании, так и при самопроизвольном проявлении их вредоносных свойств (например, в случае причинения вреда вследствие самопроизвольного движения автомобиля). Ответственность за вред по правилам ст. 1079 ГК наступает только в том случае, если вред возник в результате действия источника повышенной опасности (например, при движении автомобиля, работе механизма, самопроизвольном проявлении вредоносных свойств материалов, веществ и др.).</w:t>
            </w:r>
            <w:r w:rsidRPr="003605A2">
              <w:rPr>
                <w:rStyle w:val="apple-converted-space"/>
                <w:rFonts w:ascii="Verdana" w:hAnsi="Verdana"/>
                <w:b/>
                <w:bCs/>
              </w:rPr>
              <w:t> </w:t>
            </w:r>
            <w:r w:rsidRPr="003605A2">
              <w:rPr>
                <w:rFonts w:ascii="Verdana" w:hAnsi="Verdana"/>
                <w:b/>
                <w:bCs/>
              </w:rPr>
              <w:br/>
            </w:r>
            <w:r w:rsidRPr="003605A2">
              <w:rPr>
                <w:rFonts w:ascii="Verdana" w:hAnsi="Verdana"/>
                <w:b/>
                <w:bCs/>
              </w:rPr>
              <w:br/>
            </w:r>
            <w:bookmarkStart w:id="6" w:name="k2"/>
            <w:bookmarkEnd w:id="6"/>
            <w:r w:rsidRPr="003605A2">
              <w:rPr>
                <w:rFonts w:ascii="Verdana" w:hAnsi="Verdana"/>
                <w:b/>
                <w:bCs/>
              </w:rPr>
              <w:t>2. Под владельцем источника повышенной опасности следует понимать организацию или гражданина, эксплуатирующих источник повышенной опасности в силу принадлежащего им права собственности, права хозяйственного ведения, оперативного управления либо по другим основаниям (по договору аренды, по доверенности на управление транспортным средством, в силу распоряжения компетентных органов о передаче организации во временное пользование источника повышенной опасности и т.п.). Не признается владельцем источника повышенной опасности и не несет ответственность за вред перед потерпевшим лицо, управляющее источником повышенной опасности в силу трудовых отношений с владельцем этого источника (шофер, машинист, оператор и др.).</w:t>
            </w:r>
            <w:r w:rsidRPr="003605A2">
              <w:rPr>
                <w:rStyle w:val="apple-converted-space"/>
                <w:rFonts w:ascii="Verdana" w:hAnsi="Verdana"/>
                <w:b/>
                <w:bCs/>
              </w:rPr>
              <w:t> </w:t>
            </w:r>
            <w:r w:rsidRPr="003605A2">
              <w:rPr>
                <w:rFonts w:ascii="Verdana" w:hAnsi="Verdana"/>
                <w:b/>
                <w:bCs/>
              </w:rPr>
              <w:br/>
            </w:r>
            <w:r w:rsidRPr="003605A2">
              <w:rPr>
                <w:rFonts w:ascii="Verdana" w:hAnsi="Verdana"/>
                <w:b/>
                <w:bCs/>
              </w:rPr>
              <w:br/>
            </w:r>
            <w:bookmarkStart w:id="7" w:name="k3"/>
            <w:bookmarkEnd w:id="7"/>
            <w:r w:rsidRPr="003605A2">
              <w:rPr>
                <w:rFonts w:ascii="Verdana" w:hAnsi="Verdana"/>
                <w:b/>
                <w:bCs/>
              </w:rPr>
              <w:t>3. Если вред здоровью причинен в результате взаимодействия источников повышенной опасности, то при решении вопроса об имущественной ответственности их владельцев друг перед другом судам необходимо исходить из того, что ответственность за вред определяется по правилам</w:t>
            </w:r>
            <w:r w:rsidRPr="003605A2">
              <w:rPr>
                <w:rStyle w:val="apple-converted-space"/>
                <w:rFonts w:ascii="Verdana" w:hAnsi="Verdana"/>
                <w:b/>
                <w:bCs/>
              </w:rPr>
              <w:t> </w:t>
            </w:r>
            <w:hyperlink r:id="rId8" w:history="1">
              <w:r w:rsidRPr="003605A2">
                <w:rPr>
                  <w:rStyle w:val="a5"/>
                  <w:rFonts w:ascii="Verdana" w:hAnsi="Verdana"/>
                  <w:b/>
                  <w:bCs/>
                  <w:color w:val="auto"/>
                </w:rPr>
                <w:t>ст. 1064 ГК</w:t>
              </w:r>
            </w:hyperlink>
            <w:r w:rsidRPr="003605A2">
              <w:rPr>
                <w:rFonts w:ascii="Verdana" w:hAnsi="Verdana"/>
                <w:b/>
                <w:bCs/>
              </w:rPr>
              <w:t xml:space="preserve">. При этом надо иметь в виду следующее: а) вред, причиненный одному из владельцев по вине другого, возмещается виновным; б) при наличии вины лишь владельца, которому причинен вред, он ему не возмещается; в) при наличии вины обоих владельцев размер возмещения определяется соразмерно степени вины </w:t>
            </w:r>
            <w:r w:rsidRPr="003605A2">
              <w:rPr>
                <w:rFonts w:ascii="Verdana" w:hAnsi="Verdana"/>
                <w:b/>
                <w:bCs/>
              </w:rPr>
              <w:lastRenderedPageBreak/>
              <w:t>каждого; г) при отсутствии вины владельцев источников повышенной опасности во взаимном причинении вреда (независимо от его размера) ни один из них не имеет права на возмещение.</w:t>
            </w:r>
            <w:r w:rsidRPr="003605A2">
              <w:rPr>
                <w:rStyle w:val="apple-converted-space"/>
                <w:rFonts w:ascii="Verdana" w:hAnsi="Verdana"/>
                <w:b/>
                <w:bCs/>
              </w:rPr>
              <w:t> </w:t>
            </w:r>
            <w:r w:rsidRPr="003605A2">
              <w:rPr>
                <w:rFonts w:ascii="Verdana" w:hAnsi="Verdana"/>
                <w:b/>
                <w:bCs/>
              </w:rPr>
              <w:br/>
            </w:r>
            <w:r w:rsidRPr="003605A2">
              <w:rPr>
                <w:rFonts w:ascii="Verdana" w:hAnsi="Verdana"/>
                <w:b/>
                <w:bCs/>
              </w:rPr>
              <w:br/>
            </w:r>
            <w:bookmarkStart w:id="8" w:name="k4"/>
            <w:bookmarkEnd w:id="8"/>
            <w:r w:rsidRPr="003605A2">
              <w:rPr>
                <w:rFonts w:ascii="Verdana" w:hAnsi="Verdana"/>
                <w:b/>
                <w:bCs/>
              </w:rPr>
              <w:t>4. При причинении вреда другим лицам владельцы источников повышенной опасности, совместно причинившие вред, несут перед потерпевшим солидарную ответственность.</w:t>
            </w:r>
            <w:r w:rsidRPr="003605A2">
              <w:rPr>
                <w:rStyle w:val="apple-converted-space"/>
                <w:rFonts w:ascii="Verdana" w:hAnsi="Verdana"/>
                <w:b/>
                <w:bCs/>
              </w:rPr>
              <w:t> </w:t>
            </w:r>
            <w:r w:rsidRPr="003605A2">
              <w:rPr>
                <w:rFonts w:ascii="Verdana" w:hAnsi="Verdana"/>
                <w:b/>
                <w:bCs/>
              </w:rPr>
              <w:br/>
            </w:r>
            <w:r w:rsidRPr="003605A2">
              <w:rPr>
                <w:rFonts w:ascii="Verdana" w:hAnsi="Verdana"/>
                <w:b/>
                <w:bCs/>
              </w:rPr>
              <w:br/>
            </w:r>
            <w:bookmarkStart w:id="9" w:name="k5"/>
            <w:bookmarkEnd w:id="9"/>
            <w:r w:rsidRPr="003605A2">
              <w:rPr>
                <w:rFonts w:ascii="Verdana" w:hAnsi="Verdana"/>
                <w:b/>
                <w:bCs/>
              </w:rPr>
              <w:t>5. Владелец источника повышенной опасности не отвечает за вред, причиненный этим источником, если докажет, что он вышел из обладания владельца не по его вине, а в результате противоправных действий других лиц, например, при угоне транспортного средства. В таких случаях ответственность лиц, фактически владевших источником повышенной опасности, определяется по правилам ст. 1079 ГК. При причинении вреда источником повышенной опасности, выбывшим из обладания его владельца в результате противоправных действий других лиц, но при наличии виновного поведения владельца, ответственность за причиненный вред может быть возложена судом как на лицо, использовавшее источник повышенной опасности, так и на его владельца. Ответственность владельца источника повышенной опасности может наступить, в частности, когда по его вине не была обеспечена надлежащая охрана источника повышенной опасности. В этом случае на каждого из причинителей вреда может быть возложена ответственность за вред в долевом порядке, в зависимости от степени вины каждого из них.</w:t>
            </w:r>
          </w:p>
        </w:tc>
      </w:tr>
    </w:tbl>
    <w:p w:rsidR="0086538D" w:rsidRPr="003605A2" w:rsidRDefault="0086538D" w:rsidP="003605A2">
      <w:pPr>
        <w:rPr>
          <w:sz w:val="24"/>
          <w:szCs w:val="24"/>
        </w:rPr>
      </w:pPr>
    </w:p>
    <w:sectPr w:rsidR="0086538D" w:rsidRPr="003605A2" w:rsidSect="000810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570" w:rsidRDefault="007B2570" w:rsidP="00D11D28">
      <w:pPr>
        <w:spacing w:after="0" w:line="240" w:lineRule="auto"/>
      </w:pPr>
      <w:r>
        <w:separator/>
      </w:r>
    </w:p>
  </w:endnote>
  <w:endnote w:type="continuationSeparator" w:id="1">
    <w:p w:rsidR="007B2570" w:rsidRDefault="007B2570" w:rsidP="00D11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570" w:rsidRDefault="007B2570" w:rsidP="00D11D28">
      <w:pPr>
        <w:spacing w:after="0" w:line="240" w:lineRule="auto"/>
      </w:pPr>
      <w:r>
        <w:separator/>
      </w:r>
    </w:p>
  </w:footnote>
  <w:footnote w:type="continuationSeparator" w:id="1">
    <w:p w:rsidR="007B2570" w:rsidRDefault="007B2570" w:rsidP="00D11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4C27"/>
    <w:multiLevelType w:val="multilevel"/>
    <w:tmpl w:val="4D8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3125C"/>
    <w:multiLevelType w:val="multilevel"/>
    <w:tmpl w:val="1B1E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F0D95"/>
    <w:multiLevelType w:val="multilevel"/>
    <w:tmpl w:val="6F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C55C3"/>
    <w:multiLevelType w:val="multilevel"/>
    <w:tmpl w:val="E8B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73E07"/>
    <w:multiLevelType w:val="multilevel"/>
    <w:tmpl w:val="AA6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27DB2"/>
    <w:multiLevelType w:val="multilevel"/>
    <w:tmpl w:val="B44C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02439"/>
    <w:multiLevelType w:val="multilevel"/>
    <w:tmpl w:val="95C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658A0"/>
    <w:multiLevelType w:val="multilevel"/>
    <w:tmpl w:val="501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B703B"/>
    <w:multiLevelType w:val="multilevel"/>
    <w:tmpl w:val="94E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52BAD"/>
    <w:multiLevelType w:val="multilevel"/>
    <w:tmpl w:val="6A5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2A5C80"/>
    <w:multiLevelType w:val="multilevel"/>
    <w:tmpl w:val="E912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02991"/>
    <w:multiLevelType w:val="multilevel"/>
    <w:tmpl w:val="C2F6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200837"/>
    <w:multiLevelType w:val="multilevel"/>
    <w:tmpl w:val="918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16645D"/>
    <w:multiLevelType w:val="multilevel"/>
    <w:tmpl w:val="14D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13"/>
  </w:num>
  <w:num w:numId="5">
    <w:abstractNumId w:val="3"/>
  </w:num>
  <w:num w:numId="6">
    <w:abstractNumId w:val="7"/>
  </w:num>
  <w:num w:numId="7">
    <w:abstractNumId w:val="10"/>
  </w:num>
  <w:num w:numId="8">
    <w:abstractNumId w:val="0"/>
  </w:num>
  <w:num w:numId="9">
    <w:abstractNumId w:val="11"/>
  </w:num>
  <w:num w:numId="10">
    <w:abstractNumId w:val="9"/>
  </w:num>
  <w:num w:numId="11">
    <w:abstractNumId w:val="2"/>
  </w:num>
  <w:num w:numId="12">
    <w:abstractNumId w:val="4"/>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525CF"/>
    <w:rsid w:val="0006477D"/>
    <w:rsid w:val="00081052"/>
    <w:rsid w:val="000B1824"/>
    <w:rsid w:val="000C6770"/>
    <w:rsid w:val="000F0272"/>
    <w:rsid w:val="000F0DA1"/>
    <w:rsid w:val="00104420"/>
    <w:rsid w:val="00113327"/>
    <w:rsid w:val="001B7C1F"/>
    <w:rsid w:val="001C479A"/>
    <w:rsid w:val="001C479F"/>
    <w:rsid w:val="001E6A8E"/>
    <w:rsid w:val="00247175"/>
    <w:rsid w:val="00247369"/>
    <w:rsid w:val="002C17ED"/>
    <w:rsid w:val="002F1700"/>
    <w:rsid w:val="002F345F"/>
    <w:rsid w:val="00300450"/>
    <w:rsid w:val="003605A2"/>
    <w:rsid w:val="0037173F"/>
    <w:rsid w:val="003F0923"/>
    <w:rsid w:val="003F2BAB"/>
    <w:rsid w:val="00411929"/>
    <w:rsid w:val="004525CF"/>
    <w:rsid w:val="004931C3"/>
    <w:rsid w:val="004A51B2"/>
    <w:rsid w:val="00513F8F"/>
    <w:rsid w:val="005E7B61"/>
    <w:rsid w:val="00647795"/>
    <w:rsid w:val="00722740"/>
    <w:rsid w:val="00750C4F"/>
    <w:rsid w:val="00762AE6"/>
    <w:rsid w:val="00792FF5"/>
    <w:rsid w:val="007B2570"/>
    <w:rsid w:val="007B5C54"/>
    <w:rsid w:val="007F6823"/>
    <w:rsid w:val="0086538D"/>
    <w:rsid w:val="008A1BDD"/>
    <w:rsid w:val="00905BAF"/>
    <w:rsid w:val="00911B94"/>
    <w:rsid w:val="009867D5"/>
    <w:rsid w:val="009B0924"/>
    <w:rsid w:val="009B0F73"/>
    <w:rsid w:val="009B69C5"/>
    <w:rsid w:val="009F7383"/>
    <w:rsid w:val="009F7921"/>
    <w:rsid w:val="00A04199"/>
    <w:rsid w:val="00A222E7"/>
    <w:rsid w:val="00A35AAD"/>
    <w:rsid w:val="00A37D92"/>
    <w:rsid w:val="00AD7A15"/>
    <w:rsid w:val="00B25637"/>
    <w:rsid w:val="00C005C1"/>
    <w:rsid w:val="00C263E6"/>
    <w:rsid w:val="00C61E7C"/>
    <w:rsid w:val="00C76952"/>
    <w:rsid w:val="00C92C6D"/>
    <w:rsid w:val="00C93DEE"/>
    <w:rsid w:val="00CB2830"/>
    <w:rsid w:val="00CC3BE7"/>
    <w:rsid w:val="00CD3673"/>
    <w:rsid w:val="00CE7D20"/>
    <w:rsid w:val="00D11D28"/>
    <w:rsid w:val="00D15B3A"/>
    <w:rsid w:val="00D86C75"/>
    <w:rsid w:val="00DA58FB"/>
    <w:rsid w:val="00DB6C49"/>
    <w:rsid w:val="00DE6259"/>
    <w:rsid w:val="00E4020F"/>
    <w:rsid w:val="00EF015F"/>
    <w:rsid w:val="00F44506"/>
    <w:rsid w:val="00FF5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52"/>
  </w:style>
  <w:style w:type="paragraph" w:styleId="1">
    <w:name w:val="heading 1"/>
    <w:basedOn w:val="a"/>
    <w:link w:val="10"/>
    <w:uiPriority w:val="9"/>
    <w:qFormat/>
    <w:rsid w:val="00452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2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5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25CF"/>
    <w:rPr>
      <w:rFonts w:ascii="Times New Roman" w:eastAsia="Times New Roman" w:hAnsi="Times New Roman" w:cs="Times New Roman"/>
      <w:b/>
      <w:bCs/>
      <w:sz w:val="36"/>
      <w:szCs w:val="36"/>
    </w:rPr>
  </w:style>
  <w:style w:type="paragraph" w:styleId="a3">
    <w:name w:val="Normal (Web)"/>
    <w:basedOn w:val="a"/>
    <w:uiPriority w:val="99"/>
    <w:unhideWhenUsed/>
    <w:rsid w:val="004525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25CF"/>
    <w:rPr>
      <w:b/>
      <w:bCs/>
    </w:rPr>
  </w:style>
  <w:style w:type="character" w:customStyle="1" w:styleId="apple-converted-space">
    <w:name w:val="apple-converted-space"/>
    <w:basedOn w:val="a0"/>
    <w:rsid w:val="004525CF"/>
  </w:style>
  <w:style w:type="paragraph" w:customStyle="1" w:styleId="h2">
    <w:name w:val="h2"/>
    <w:basedOn w:val="a"/>
    <w:rsid w:val="004A51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A51B2"/>
    <w:rPr>
      <w:color w:val="0000FF"/>
      <w:u w:val="single"/>
    </w:rPr>
  </w:style>
  <w:style w:type="paragraph" w:customStyle="1" w:styleId="consplustitle">
    <w:name w:val="consplustitle"/>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8A1BDD"/>
    <w:rPr>
      <w:color w:val="800080"/>
      <w:u w:val="single"/>
    </w:rPr>
  </w:style>
  <w:style w:type="paragraph" w:styleId="a7">
    <w:name w:val="Balloon Text"/>
    <w:basedOn w:val="a"/>
    <w:link w:val="a8"/>
    <w:uiPriority w:val="99"/>
    <w:semiHidden/>
    <w:unhideWhenUsed/>
    <w:rsid w:val="008A1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BDD"/>
    <w:rPr>
      <w:rFonts w:ascii="Tahoma" w:hAnsi="Tahoma" w:cs="Tahoma"/>
      <w:sz w:val="16"/>
      <w:szCs w:val="16"/>
    </w:rPr>
  </w:style>
  <w:style w:type="character" w:customStyle="1" w:styleId="blk">
    <w:name w:val="blk"/>
    <w:basedOn w:val="a0"/>
    <w:rsid w:val="009F7383"/>
  </w:style>
  <w:style w:type="character" w:styleId="a9">
    <w:name w:val="Emphasis"/>
    <w:basedOn w:val="a0"/>
    <w:uiPriority w:val="20"/>
    <w:qFormat/>
    <w:rsid w:val="007B5C54"/>
    <w:rPr>
      <w:i/>
      <w:iCs/>
    </w:rPr>
  </w:style>
  <w:style w:type="character" w:customStyle="1" w:styleId="znak-sel">
    <w:name w:val="znak-sel"/>
    <w:basedOn w:val="a0"/>
    <w:rsid w:val="00D11D28"/>
  </w:style>
  <w:style w:type="paragraph" w:styleId="aa">
    <w:name w:val="header"/>
    <w:basedOn w:val="a"/>
    <w:link w:val="ab"/>
    <w:uiPriority w:val="99"/>
    <w:semiHidden/>
    <w:unhideWhenUsed/>
    <w:rsid w:val="00D11D2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11D28"/>
  </w:style>
  <w:style w:type="paragraph" w:styleId="ac">
    <w:name w:val="footer"/>
    <w:basedOn w:val="a"/>
    <w:link w:val="ad"/>
    <w:uiPriority w:val="99"/>
    <w:semiHidden/>
    <w:unhideWhenUsed/>
    <w:rsid w:val="00D11D2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11D28"/>
  </w:style>
  <w:style w:type="character" w:customStyle="1" w:styleId="txt12">
    <w:name w:val="txt12"/>
    <w:basedOn w:val="a0"/>
    <w:rsid w:val="003605A2"/>
  </w:style>
  <w:style w:type="character" w:customStyle="1" w:styleId="txt10">
    <w:name w:val="txt10"/>
    <w:basedOn w:val="a0"/>
    <w:rsid w:val="003605A2"/>
  </w:style>
  <w:style w:type="paragraph" w:customStyle="1" w:styleId="txt121">
    <w:name w:val="txt121"/>
    <w:basedOn w:val="a"/>
    <w:rsid w:val="00360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01">
    <w:name w:val="txt101"/>
    <w:basedOn w:val="a"/>
    <w:rsid w:val="003605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60532">
      <w:bodyDiv w:val="1"/>
      <w:marLeft w:val="0"/>
      <w:marRight w:val="0"/>
      <w:marTop w:val="0"/>
      <w:marBottom w:val="0"/>
      <w:divBdr>
        <w:top w:val="none" w:sz="0" w:space="0" w:color="auto"/>
        <w:left w:val="none" w:sz="0" w:space="0" w:color="auto"/>
        <w:bottom w:val="none" w:sz="0" w:space="0" w:color="auto"/>
        <w:right w:val="none" w:sz="0" w:space="0" w:color="auto"/>
      </w:divBdr>
    </w:div>
    <w:div w:id="27488803">
      <w:bodyDiv w:val="1"/>
      <w:marLeft w:val="0"/>
      <w:marRight w:val="0"/>
      <w:marTop w:val="0"/>
      <w:marBottom w:val="0"/>
      <w:divBdr>
        <w:top w:val="none" w:sz="0" w:space="0" w:color="auto"/>
        <w:left w:val="none" w:sz="0" w:space="0" w:color="auto"/>
        <w:bottom w:val="none" w:sz="0" w:space="0" w:color="auto"/>
        <w:right w:val="none" w:sz="0" w:space="0" w:color="auto"/>
      </w:divBdr>
      <w:divsChild>
        <w:div w:id="953559596">
          <w:marLeft w:val="0"/>
          <w:marRight w:val="0"/>
          <w:marTop w:val="120"/>
          <w:marBottom w:val="0"/>
          <w:divBdr>
            <w:top w:val="none" w:sz="0" w:space="0" w:color="auto"/>
            <w:left w:val="none" w:sz="0" w:space="0" w:color="auto"/>
            <w:bottom w:val="none" w:sz="0" w:space="0" w:color="auto"/>
            <w:right w:val="none" w:sz="0" w:space="0" w:color="auto"/>
          </w:divBdr>
        </w:div>
        <w:div w:id="2101681169">
          <w:marLeft w:val="0"/>
          <w:marRight w:val="0"/>
          <w:marTop w:val="120"/>
          <w:marBottom w:val="0"/>
          <w:divBdr>
            <w:top w:val="none" w:sz="0" w:space="0" w:color="auto"/>
            <w:left w:val="none" w:sz="0" w:space="0" w:color="auto"/>
            <w:bottom w:val="none" w:sz="0" w:space="0" w:color="auto"/>
            <w:right w:val="none" w:sz="0" w:space="0" w:color="auto"/>
          </w:divBdr>
        </w:div>
        <w:div w:id="1021511695">
          <w:marLeft w:val="0"/>
          <w:marRight w:val="0"/>
          <w:marTop w:val="120"/>
          <w:marBottom w:val="0"/>
          <w:divBdr>
            <w:top w:val="none" w:sz="0" w:space="0" w:color="auto"/>
            <w:left w:val="none" w:sz="0" w:space="0" w:color="auto"/>
            <w:bottom w:val="none" w:sz="0" w:space="0" w:color="auto"/>
            <w:right w:val="none" w:sz="0" w:space="0" w:color="auto"/>
          </w:divBdr>
        </w:div>
        <w:div w:id="1145199545">
          <w:marLeft w:val="0"/>
          <w:marRight w:val="0"/>
          <w:marTop w:val="120"/>
          <w:marBottom w:val="0"/>
          <w:divBdr>
            <w:top w:val="none" w:sz="0" w:space="0" w:color="auto"/>
            <w:left w:val="none" w:sz="0" w:space="0" w:color="auto"/>
            <w:bottom w:val="none" w:sz="0" w:space="0" w:color="auto"/>
            <w:right w:val="none" w:sz="0" w:space="0" w:color="auto"/>
          </w:divBdr>
        </w:div>
        <w:div w:id="2041081693">
          <w:marLeft w:val="0"/>
          <w:marRight w:val="0"/>
          <w:marTop w:val="120"/>
          <w:marBottom w:val="0"/>
          <w:divBdr>
            <w:top w:val="none" w:sz="0" w:space="0" w:color="auto"/>
            <w:left w:val="none" w:sz="0" w:space="0" w:color="auto"/>
            <w:bottom w:val="none" w:sz="0" w:space="0" w:color="auto"/>
            <w:right w:val="none" w:sz="0" w:space="0" w:color="auto"/>
          </w:divBdr>
        </w:div>
        <w:div w:id="2052724612">
          <w:marLeft w:val="0"/>
          <w:marRight w:val="0"/>
          <w:marTop w:val="120"/>
          <w:marBottom w:val="0"/>
          <w:divBdr>
            <w:top w:val="none" w:sz="0" w:space="0" w:color="auto"/>
            <w:left w:val="none" w:sz="0" w:space="0" w:color="auto"/>
            <w:bottom w:val="none" w:sz="0" w:space="0" w:color="auto"/>
            <w:right w:val="none" w:sz="0" w:space="0" w:color="auto"/>
          </w:divBdr>
        </w:div>
        <w:div w:id="903877496">
          <w:marLeft w:val="0"/>
          <w:marRight w:val="0"/>
          <w:marTop w:val="120"/>
          <w:marBottom w:val="0"/>
          <w:divBdr>
            <w:top w:val="none" w:sz="0" w:space="0" w:color="auto"/>
            <w:left w:val="none" w:sz="0" w:space="0" w:color="auto"/>
            <w:bottom w:val="none" w:sz="0" w:space="0" w:color="auto"/>
            <w:right w:val="none" w:sz="0" w:space="0" w:color="auto"/>
          </w:divBdr>
        </w:div>
        <w:div w:id="1913271866">
          <w:marLeft w:val="0"/>
          <w:marRight w:val="0"/>
          <w:marTop w:val="0"/>
          <w:marBottom w:val="0"/>
          <w:divBdr>
            <w:top w:val="none" w:sz="0" w:space="0" w:color="auto"/>
            <w:left w:val="single" w:sz="24" w:space="10" w:color="CED3F1"/>
            <w:bottom w:val="none" w:sz="0" w:space="0" w:color="auto"/>
            <w:right w:val="none" w:sz="0" w:space="0" w:color="auto"/>
          </w:divBdr>
        </w:div>
        <w:div w:id="1822843036">
          <w:marLeft w:val="0"/>
          <w:marRight w:val="0"/>
          <w:marTop w:val="0"/>
          <w:marBottom w:val="0"/>
          <w:divBdr>
            <w:top w:val="none" w:sz="0" w:space="0" w:color="auto"/>
            <w:left w:val="single" w:sz="24" w:space="10" w:color="CED3F1"/>
            <w:bottom w:val="none" w:sz="0" w:space="0" w:color="auto"/>
            <w:right w:val="none" w:sz="0" w:space="0" w:color="auto"/>
          </w:divBdr>
        </w:div>
        <w:div w:id="1884904897">
          <w:marLeft w:val="0"/>
          <w:marRight w:val="0"/>
          <w:marTop w:val="120"/>
          <w:marBottom w:val="0"/>
          <w:divBdr>
            <w:top w:val="none" w:sz="0" w:space="0" w:color="auto"/>
            <w:left w:val="none" w:sz="0" w:space="0" w:color="auto"/>
            <w:bottom w:val="none" w:sz="0" w:space="0" w:color="auto"/>
            <w:right w:val="none" w:sz="0" w:space="0" w:color="auto"/>
          </w:divBdr>
        </w:div>
        <w:div w:id="1757701063">
          <w:marLeft w:val="0"/>
          <w:marRight w:val="0"/>
          <w:marTop w:val="120"/>
          <w:marBottom w:val="0"/>
          <w:divBdr>
            <w:top w:val="none" w:sz="0" w:space="0" w:color="auto"/>
            <w:left w:val="none" w:sz="0" w:space="0" w:color="auto"/>
            <w:bottom w:val="none" w:sz="0" w:space="0" w:color="auto"/>
            <w:right w:val="none" w:sz="0" w:space="0" w:color="auto"/>
          </w:divBdr>
        </w:div>
        <w:div w:id="1867525718">
          <w:marLeft w:val="0"/>
          <w:marRight w:val="0"/>
          <w:marTop w:val="120"/>
          <w:marBottom w:val="0"/>
          <w:divBdr>
            <w:top w:val="none" w:sz="0" w:space="0" w:color="auto"/>
            <w:left w:val="none" w:sz="0" w:space="0" w:color="auto"/>
            <w:bottom w:val="none" w:sz="0" w:space="0" w:color="auto"/>
            <w:right w:val="none" w:sz="0" w:space="0" w:color="auto"/>
          </w:divBdr>
        </w:div>
        <w:div w:id="1034043686">
          <w:marLeft w:val="0"/>
          <w:marRight w:val="0"/>
          <w:marTop w:val="120"/>
          <w:marBottom w:val="0"/>
          <w:divBdr>
            <w:top w:val="none" w:sz="0" w:space="0" w:color="auto"/>
            <w:left w:val="none" w:sz="0" w:space="0" w:color="auto"/>
            <w:bottom w:val="none" w:sz="0" w:space="0" w:color="auto"/>
            <w:right w:val="none" w:sz="0" w:space="0" w:color="auto"/>
          </w:divBdr>
        </w:div>
        <w:div w:id="1980189281">
          <w:marLeft w:val="0"/>
          <w:marRight w:val="0"/>
          <w:marTop w:val="120"/>
          <w:marBottom w:val="0"/>
          <w:divBdr>
            <w:top w:val="none" w:sz="0" w:space="0" w:color="auto"/>
            <w:left w:val="none" w:sz="0" w:space="0" w:color="auto"/>
            <w:bottom w:val="none" w:sz="0" w:space="0" w:color="auto"/>
            <w:right w:val="none" w:sz="0" w:space="0" w:color="auto"/>
          </w:divBdr>
        </w:div>
        <w:div w:id="148449122">
          <w:marLeft w:val="0"/>
          <w:marRight w:val="0"/>
          <w:marTop w:val="120"/>
          <w:marBottom w:val="0"/>
          <w:divBdr>
            <w:top w:val="none" w:sz="0" w:space="0" w:color="auto"/>
            <w:left w:val="none" w:sz="0" w:space="0" w:color="auto"/>
            <w:bottom w:val="none" w:sz="0" w:space="0" w:color="auto"/>
            <w:right w:val="none" w:sz="0" w:space="0" w:color="auto"/>
          </w:divBdr>
        </w:div>
        <w:div w:id="2082435957">
          <w:marLeft w:val="0"/>
          <w:marRight w:val="0"/>
          <w:marTop w:val="120"/>
          <w:marBottom w:val="0"/>
          <w:divBdr>
            <w:top w:val="none" w:sz="0" w:space="0" w:color="auto"/>
            <w:left w:val="none" w:sz="0" w:space="0" w:color="auto"/>
            <w:bottom w:val="none" w:sz="0" w:space="0" w:color="auto"/>
            <w:right w:val="none" w:sz="0" w:space="0" w:color="auto"/>
          </w:divBdr>
        </w:div>
        <w:div w:id="189419580">
          <w:marLeft w:val="0"/>
          <w:marRight w:val="0"/>
          <w:marTop w:val="120"/>
          <w:marBottom w:val="0"/>
          <w:divBdr>
            <w:top w:val="none" w:sz="0" w:space="0" w:color="auto"/>
            <w:left w:val="none" w:sz="0" w:space="0" w:color="auto"/>
            <w:bottom w:val="none" w:sz="0" w:space="0" w:color="auto"/>
            <w:right w:val="none" w:sz="0" w:space="0" w:color="auto"/>
          </w:divBdr>
        </w:div>
        <w:div w:id="919604787">
          <w:marLeft w:val="0"/>
          <w:marRight w:val="0"/>
          <w:marTop w:val="120"/>
          <w:marBottom w:val="0"/>
          <w:divBdr>
            <w:top w:val="none" w:sz="0" w:space="0" w:color="auto"/>
            <w:left w:val="none" w:sz="0" w:space="0" w:color="auto"/>
            <w:bottom w:val="none" w:sz="0" w:space="0" w:color="auto"/>
            <w:right w:val="none" w:sz="0" w:space="0" w:color="auto"/>
          </w:divBdr>
        </w:div>
        <w:div w:id="1071270796">
          <w:marLeft w:val="0"/>
          <w:marRight w:val="0"/>
          <w:marTop w:val="120"/>
          <w:marBottom w:val="0"/>
          <w:divBdr>
            <w:top w:val="none" w:sz="0" w:space="0" w:color="auto"/>
            <w:left w:val="none" w:sz="0" w:space="0" w:color="auto"/>
            <w:bottom w:val="none" w:sz="0" w:space="0" w:color="auto"/>
            <w:right w:val="none" w:sz="0" w:space="0" w:color="auto"/>
          </w:divBdr>
        </w:div>
        <w:div w:id="1379890020">
          <w:marLeft w:val="0"/>
          <w:marRight w:val="0"/>
          <w:marTop w:val="120"/>
          <w:marBottom w:val="0"/>
          <w:divBdr>
            <w:top w:val="none" w:sz="0" w:space="0" w:color="auto"/>
            <w:left w:val="none" w:sz="0" w:space="0" w:color="auto"/>
            <w:bottom w:val="none" w:sz="0" w:space="0" w:color="auto"/>
            <w:right w:val="none" w:sz="0" w:space="0" w:color="auto"/>
          </w:divBdr>
        </w:div>
        <w:div w:id="1610119551">
          <w:marLeft w:val="0"/>
          <w:marRight w:val="0"/>
          <w:marTop w:val="120"/>
          <w:marBottom w:val="0"/>
          <w:divBdr>
            <w:top w:val="none" w:sz="0" w:space="0" w:color="auto"/>
            <w:left w:val="none" w:sz="0" w:space="0" w:color="auto"/>
            <w:bottom w:val="none" w:sz="0" w:space="0" w:color="auto"/>
            <w:right w:val="none" w:sz="0" w:space="0" w:color="auto"/>
          </w:divBdr>
        </w:div>
        <w:div w:id="590772405">
          <w:marLeft w:val="0"/>
          <w:marRight w:val="0"/>
          <w:marTop w:val="120"/>
          <w:marBottom w:val="0"/>
          <w:divBdr>
            <w:top w:val="none" w:sz="0" w:space="0" w:color="auto"/>
            <w:left w:val="none" w:sz="0" w:space="0" w:color="auto"/>
            <w:bottom w:val="none" w:sz="0" w:space="0" w:color="auto"/>
            <w:right w:val="none" w:sz="0" w:space="0" w:color="auto"/>
          </w:divBdr>
        </w:div>
        <w:div w:id="1584217425">
          <w:marLeft w:val="0"/>
          <w:marRight w:val="0"/>
          <w:marTop w:val="120"/>
          <w:marBottom w:val="0"/>
          <w:divBdr>
            <w:top w:val="none" w:sz="0" w:space="0" w:color="auto"/>
            <w:left w:val="none" w:sz="0" w:space="0" w:color="auto"/>
            <w:bottom w:val="none" w:sz="0" w:space="0" w:color="auto"/>
            <w:right w:val="none" w:sz="0" w:space="0" w:color="auto"/>
          </w:divBdr>
        </w:div>
        <w:div w:id="1518960068">
          <w:marLeft w:val="0"/>
          <w:marRight w:val="0"/>
          <w:marTop w:val="120"/>
          <w:marBottom w:val="0"/>
          <w:divBdr>
            <w:top w:val="none" w:sz="0" w:space="0" w:color="auto"/>
            <w:left w:val="none" w:sz="0" w:space="0" w:color="auto"/>
            <w:bottom w:val="none" w:sz="0" w:space="0" w:color="auto"/>
            <w:right w:val="none" w:sz="0" w:space="0" w:color="auto"/>
          </w:divBdr>
        </w:div>
        <w:div w:id="1741177559">
          <w:marLeft w:val="0"/>
          <w:marRight w:val="0"/>
          <w:marTop w:val="120"/>
          <w:marBottom w:val="0"/>
          <w:divBdr>
            <w:top w:val="none" w:sz="0" w:space="0" w:color="auto"/>
            <w:left w:val="none" w:sz="0" w:space="0" w:color="auto"/>
            <w:bottom w:val="none" w:sz="0" w:space="0" w:color="auto"/>
            <w:right w:val="none" w:sz="0" w:space="0" w:color="auto"/>
          </w:divBdr>
        </w:div>
        <w:div w:id="1290548217">
          <w:marLeft w:val="0"/>
          <w:marRight w:val="0"/>
          <w:marTop w:val="120"/>
          <w:marBottom w:val="0"/>
          <w:divBdr>
            <w:top w:val="none" w:sz="0" w:space="0" w:color="auto"/>
            <w:left w:val="none" w:sz="0" w:space="0" w:color="auto"/>
            <w:bottom w:val="none" w:sz="0" w:space="0" w:color="auto"/>
            <w:right w:val="none" w:sz="0" w:space="0" w:color="auto"/>
          </w:divBdr>
        </w:div>
      </w:divsChild>
    </w:div>
    <w:div w:id="66341605">
      <w:bodyDiv w:val="1"/>
      <w:marLeft w:val="0"/>
      <w:marRight w:val="0"/>
      <w:marTop w:val="0"/>
      <w:marBottom w:val="0"/>
      <w:divBdr>
        <w:top w:val="none" w:sz="0" w:space="0" w:color="auto"/>
        <w:left w:val="none" w:sz="0" w:space="0" w:color="auto"/>
        <w:bottom w:val="none" w:sz="0" w:space="0" w:color="auto"/>
        <w:right w:val="none" w:sz="0" w:space="0" w:color="auto"/>
      </w:divBdr>
    </w:div>
    <w:div w:id="186843627">
      <w:bodyDiv w:val="1"/>
      <w:marLeft w:val="0"/>
      <w:marRight w:val="0"/>
      <w:marTop w:val="0"/>
      <w:marBottom w:val="0"/>
      <w:divBdr>
        <w:top w:val="none" w:sz="0" w:space="0" w:color="auto"/>
        <w:left w:val="none" w:sz="0" w:space="0" w:color="auto"/>
        <w:bottom w:val="none" w:sz="0" w:space="0" w:color="auto"/>
        <w:right w:val="none" w:sz="0" w:space="0" w:color="auto"/>
      </w:divBdr>
    </w:div>
    <w:div w:id="365255003">
      <w:bodyDiv w:val="1"/>
      <w:marLeft w:val="0"/>
      <w:marRight w:val="0"/>
      <w:marTop w:val="0"/>
      <w:marBottom w:val="0"/>
      <w:divBdr>
        <w:top w:val="none" w:sz="0" w:space="0" w:color="auto"/>
        <w:left w:val="none" w:sz="0" w:space="0" w:color="auto"/>
        <w:bottom w:val="none" w:sz="0" w:space="0" w:color="auto"/>
        <w:right w:val="none" w:sz="0" w:space="0" w:color="auto"/>
      </w:divBdr>
    </w:div>
    <w:div w:id="397024484">
      <w:bodyDiv w:val="1"/>
      <w:marLeft w:val="0"/>
      <w:marRight w:val="0"/>
      <w:marTop w:val="0"/>
      <w:marBottom w:val="0"/>
      <w:divBdr>
        <w:top w:val="none" w:sz="0" w:space="0" w:color="auto"/>
        <w:left w:val="none" w:sz="0" w:space="0" w:color="auto"/>
        <w:bottom w:val="none" w:sz="0" w:space="0" w:color="auto"/>
        <w:right w:val="none" w:sz="0" w:space="0" w:color="auto"/>
      </w:divBdr>
    </w:div>
    <w:div w:id="599533924">
      <w:bodyDiv w:val="1"/>
      <w:marLeft w:val="0"/>
      <w:marRight w:val="0"/>
      <w:marTop w:val="0"/>
      <w:marBottom w:val="0"/>
      <w:divBdr>
        <w:top w:val="none" w:sz="0" w:space="0" w:color="auto"/>
        <w:left w:val="none" w:sz="0" w:space="0" w:color="auto"/>
        <w:bottom w:val="none" w:sz="0" w:space="0" w:color="auto"/>
        <w:right w:val="none" w:sz="0" w:space="0" w:color="auto"/>
      </w:divBdr>
      <w:divsChild>
        <w:div w:id="548957965">
          <w:marLeft w:val="0"/>
          <w:marRight w:val="0"/>
          <w:marTop w:val="0"/>
          <w:marBottom w:val="0"/>
          <w:divBdr>
            <w:top w:val="none" w:sz="0" w:space="0" w:color="auto"/>
            <w:left w:val="none" w:sz="0" w:space="0" w:color="auto"/>
            <w:bottom w:val="none" w:sz="0" w:space="0" w:color="auto"/>
            <w:right w:val="none" w:sz="0" w:space="0" w:color="auto"/>
          </w:divBdr>
        </w:div>
        <w:div w:id="2036038492">
          <w:marLeft w:val="0"/>
          <w:marRight w:val="0"/>
          <w:marTop w:val="0"/>
          <w:marBottom w:val="0"/>
          <w:divBdr>
            <w:top w:val="none" w:sz="0" w:space="0" w:color="auto"/>
            <w:left w:val="none" w:sz="0" w:space="0" w:color="auto"/>
            <w:bottom w:val="none" w:sz="0" w:space="0" w:color="auto"/>
            <w:right w:val="none" w:sz="0" w:space="0" w:color="auto"/>
          </w:divBdr>
        </w:div>
      </w:divsChild>
    </w:div>
    <w:div w:id="628051985">
      <w:bodyDiv w:val="1"/>
      <w:marLeft w:val="0"/>
      <w:marRight w:val="0"/>
      <w:marTop w:val="0"/>
      <w:marBottom w:val="0"/>
      <w:divBdr>
        <w:top w:val="none" w:sz="0" w:space="0" w:color="auto"/>
        <w:left w:val="none" w:sz="0" w:space="0" w:color="auto"/>
        <w:bottom w:val="none" w:sz="0" w:space="0" w:color="auto"/>
        <w:right w:val="none" w:sz="0" w:space="0" w:color="auto"/>
      </w:divBdr>
    </w:div>
    <w:div w:id="664087245">
      <w:bodyDiv w:val="1"/>
      <w:marLeft w:val="0"/>
      <w:marRight w:val="0"/>
      <w:marTop w:val="0"/>
      <w:marBottom w:val="0"/>
      <w:divBdr>
        <w:top w:val="none" w:sz="0" w:space="0" w:color="auto"/>
        <w:left w:val="none" w:sz="0" w:space="0" w:color="auto"/>
        <w:bottom w:val="none" w:sz="0" w:space="0" w:color="auto"/>
        <w:right w:val="none" w:sz="0" w:space="0" w:color="auto"/>
      </w:divBdr>
    </w:div>
    <w:div w:id="682166355">
      <w:bodyDiv w:val="1"/>
      <w:marLeft w:val="0"/>
      <w:marRight w:val="0"/>
      <w:marTop w:val="0"/>
      <w:marBottom w:val="0"/>
      <w:divBdr>
        <w:top w:val="none" w:sz="0" w:space="0" w:color="auto"/>
        <w:left w:val="none" w:sz="0" w:space="0" w:color="auto"/>
        <w:bottom w:val="none" w:sz="0" w:space="0" w:color="auto"/>
        <w:right w:val="none" w:sz="0" w:space="0" w:color="auto"/>
      </w:divBdr>
    </w:div>
    <w:div w:id="707145217">
      <w:bodyDiv w:val="1"/>
      <w:marLeft w:val="0"/>
      <w:marRight w:val="0"/>
      <w:marTop w:val="0"/>
      <w:marBottom w:val="0"/>
      <w:divBdr>
        <w:top w:val="none" w:sz="0" w:space="0" w:color="auto"/>
        <w:left w:val="none" w:sz="0" w:space="0" w:color="auto"/>
        <w:bottom w:val="none" w:sz="0" w:space="0" w:color="auto"/>
        <w:right w:val="none" w:sz="0" w:space="0" w:color="auto"/>
      </w:divBdr>
    </w:div>
    <w:div w:id="753402909">
      <w:bodyDiv w:val="1"/>
      <w:marLeft w:val="0"/>
      <w:marRight w:val="0"/>
      <w:marTop w:val="0"/>
      <w:marBottom w:val="0"/>
      <w:divBdr>
        <w:top w:val="none" w:sz="0" w:space="0" w:color="auto"/>
        <w:left w:val="none" w:sz="0" w:space="0" w:color="auto"/>
        <w:bottom w:val="none" w:sz="0" w:space="0" w:color="auto"/>
        <w:right w:val="none" w:sz="0" w:space="0" w:color="auto"/>
      </w:divBdr>
    </w:div>
    <w:div w:id="774787672">
      <w:bodyDiv w:val="1"/>
      <w:marLeft w:val="0"/>
      <w:marRight w:val="0"/>
      <w:marTop w:val="0"/>
      <w:marBottom w:val="0"/>
      <w:divBdr>
        <w:top w:val="none" w:sz="0" w:space="0" w:color="auto"/>
        <w:left w:val="none" w:sz="0" w:space="0" w:color="auto"/>
        <w:bottom w:val="none" w:sz="0" w:space="0" w:color="auto"/>
        <w:right w:val="none" w:sz="0" w:space="0" w:color="auto"/>
      </w:divBdr>
    </w:div>
    <w:div w:id="814495066">
      <w:bodyDiv w:val="1"/>
      <w:marLeft w:val="0"/>
      <w:marRight w:val="0"/>
      <w:marTop w:val="0"/>
      <w:marBottom w:val="0"/>
      <w:divBdr>
        <w:top w:val="none" w:sz="0" w:space="0" w:color="auto"/>
        <w:left w:val="none" w:sz="0" w:space="0" w:color="auto"/>
        <w:bottom w:val="none" w:sz="0" w:space="0" w:color="auto"/>
        <w:right w:val="none" w:sz="0" w:space="0" w:color="auto"/>
      </w:divBdr>
    </w:div>
    <w:div w:id="882866693">
      <w:bodyDiv w:val="1"/>
      <w:marLeft w:val="0"/>
      <w:marRight w:val="0"/>
      <w:marTop w:val="0"/>
      <w:marBottom w:val="0"/>
      <w:divBdr>
        <w:top w:val="none" w:sz="0" w:space="0" w:color="auto"/>
        <w:left w:val="none" w:sz="0" w:space="0" w:color="auto"/>
        <w:bottom w:val="none" w:sz="0" w:space="0" w:color="auto"/>
        <w:right w:val="none" w:sz="0" w:space="0" w:color="auto"/>
      </w:divBdr>
    </w:div>
    <w:div w:id="936211278">
      <w:bodyDiv w:val="1"/>
      <w:marLeft w:val="0"/>
      <w:marRight w:val="0"/>
      <w:marTop w:val="0"/>
      <w:marBottom w:val="0"/>
      <w:divBdr>
        <w:top w:val="none" w:sz="0" w:space="0" w:color="auto"/>
        <w:left w:val="none" w:sz="0" w:space="0" w:color="auto"/>
        <w:bottom w:val="none" w:sz="0" w:space="0" w:color="auto"/>
        <w:right w:val="none" w:sz="0" w:space="0" w:color="auto"/>
      </w:divBdr>
    </w:div>
    <w:div w:id="1025978324">
      <w:bodyDiv w:val="1"/>
      <w:marLeft w:val="0"/>
      <w:marRight w:val="0"/>
      <w:marTop w:val="0"/>
      <w:marBottom w:val="0"/>
      <w:divBdr>
        <w:top w:val="none" w:sz="0" w:space="0" w:color="auto"/>
        <w:left w:val="none" w:sz="0" w:space="0" w:color="auto"/>
        <w:bottom w:val="none" w:sz="0" w:space="0" w:color="auto"/>
        <w:right w:val="none" w:sz="0" w:space="0" w:color="auto"/>
      </w:divBdr>
    </w:div>
    <w:div w:id="1029375934">
      <w:bodyDiv w:val="1"/>
      <w:marLeft w:val="0"/>
      <w:marRight w:val="0"/>
      <w:marTop w:val="0"/>
      <w:marBottom w:val="0"/>
      <w:divBdr>
        <w:top w:val="none" w:sz="0" w:space="0" w:color="auto"/>
        <w:left w:val="none" w:sz="0" w:space="0" w:color="auto"/>
        <w:bottom w:val="none" w:sz="0" w:space="0" w:color="auto"/>
        <w:right w:val="none" w:sz="0" w:space="0" w:color="auto"/>
      </w:divBdr>
    </w:div>
    <w:div w:id="1075205576">
      <w:bodyDiv w:val="1"/>
      <w:marLeft w:val="0"/>
      <w:marRight w:val="0"/>
      <w:marTop w:val="0"/>
      <w:marBottom w:val="0"/>
      <w:divBdr>
        <w:top w:val="none" w:sz="0" w:space="0" w:color="auto"/>
        <w:left w:val="none" w:sz="0" w:space="0" w:color="auto"/>
        <w:bottom w:val="none" w:sz="0" w:space="0" w:color="auto"/>
        <w:right w:val="none" w:sz="0" w:space="0" w:color="auto"/>
      </w:divBdr>
    </w:div>
    <w:div w:id="1207567197">
      <w:bodyDiv w:val="1"/>
      <w:marLeft w:val="0"/>
      <w:marRight w:val="0"/>
      <w:marTop w:val="0"/>
      <w:marBottom w:val="0"/>
      <w:divBdr>
        <w:top w:val="none" w:sz="0" w:space="0" w:color="auto"/>
        <w:left w:val="none" w:sz="0" w:space="0" w:color="auto"/>
        <w:bottom w:val="none" w:sz="0" w:space="0" w:color="auto"/>
        <w:right w:val="none" w:sz="0" w:space="0" w:color="auto"/>
      </w:divBdr>
    </w:div>
    <w:div w:id="1229150385">
      <w:bodyDiv w:val="1"/>
      <w:marLeft w:val="0"/>
      <w:marRight w:val="0"/>
      <w:marTop w:val="0"/>
      <w:marBottom w:val="0"/>
      <w:divBdr>
        <w:top w:val="none" w:sz="0" w:space="0" w:color="auto"/>
        <w:left w:val="none" w:sz="0" w:space="0" w:color="auto"/>
        <w:bottom w:val="none" w:sz="0" w:space="0" w:color="auto"/>
        <w:right w:val="none" w:sz="0" w:space="0" w:color="auto"/>
      </w:divBdr>
    </w:div>
    <w:div w:id="1258948566">
      <w:bodyDiv w:val="1"/>
      <w:marLeft w:val="0"/>
      <w:marRight w:val="0"/>
      <w:marTop w:val="0"/>
      <w:marBottom w:val="0"/>
      <w:divBdr>
        <w:top w:val="none" w:sz="0" w:space="0" w:color="auto"/>
        <w:left w:val="none" w:sz="0" w:space="0" w:color="auto"/>
        <w:bottom w:val="none" w:sz="0" w:space="0" w:color="auto"/>
        <w:right w:val="none" w:sz="0" w:space="0" w:color="auto"/>
      </w:divBdr>
    </w:div>
    <w:div w:id="1303804667">
      <w:bodyDiv w:val="1"/>
      <w:marLeft w:val="0"/>
      <w:marRight w:val="0"/>
      <w:marTop w:val="0"/>
      <w:marBottom w:val="0"/>
      <w:divBdr>
        <w:top w:val="none" w:sz="0" w:space="0" w:color="auto"/>
        <w:left w:val="none" w:sz="0" w:space="0" w:color="auto"/>
        <w:bottom w:val="none" w:sz="0" w:space="0" w:color="auto"/>
        <w:right w:val="none" w:sz="0" w:space="0" w:color="auto"/>
      </w:divBdr>
      <w:divsChild>
        <w:div w:id="2003654721">
          <w:marLeft w:val="0"/>
          <w:marRight w:val="0"/>
          <w:marTop w:val="0"/>
          <w:marBottom w:val="0"/>
          <w:divBdr>
            <w:top w:val="none" w:sz="0" w:space="0" w:color="auto"/>
            <w:left w:val="none" w:sz="0" w:space="0" w:color="auto"/>
            <w:bottom w:val="none" w:sz="0" w:space="0" w:color="auto"/>
            <w:right w:val="none" w:sz="0" w:space="0" w:color="auto"/>
          </w:divBdr>
        </w:div>
      </w:divsChild>
    </w:div>
    <w:div w:id="1397387896">
      <w:bodyDiv w:val="1"/>
      <w:marLeft w:val="0"/>
      <w:marRight w:val="0"/>
      <w:marTop w:val="0"/>
      <w:marBottom w:val="0"/>
      <w:divBdr>
        <w:top w:val="none" w:sz="0" w:space="0" w:color="auto"/>
        <w:left w:val="none" w:sz="0" w:space="0" w:color="auto"/>
        <w:bottom w:val="none" w:sz="0" w:space="0" w:color="auto"/>
        <w:right w:val="none" w:sz="0" w:space="0" w:color="auto"/>
      </w:divBdr>
    </w:div>
    <w:div w:id="1460302376">
      <w:bodyDiv w:val="1"/>
      <w:marLeft w:val="0"/>
      <w:marRight w:val="0"/>
      <w:marTop w:val="0"/>
      <w:marBottom w:val="0"/>
      <w:divBdr>
        <w:top w:val="none" w:sz="0" w:space="0" w:color="auto"/>
        <w:left w:val="none" w:sz="0" w:space="0" w:color="auto"/>
        <w:bottom w:val="none" w:sz="0" w:space="0" w:color="auto"/>
        <w:right w:val="none" w:sz="0" w:space="0" w:color="auto"/>
      </w:divBdr>
    </w:div>
    <w:div w:id="1475443869">
      <w:bodyDiv w:val="1"/>
      <w:marLeft w:val="0"/>
      <w:marRight w:val="0"/>
      <w:marTop w:val="0"/>
      <w:marBottom w:val="0"/>
      <w:divBdr>
        <w:top w:val="none" w:sz="0" w:space="0" w:color="auto"/>
        <w:left w:val="none" w:sz="0" w:space="0" w:color="auto"/>
        <w:bottom w:val="none" w:sz="0" w:space="0" w:color="auto"/>
        <w:right w:val="none" w:sz="0" w:space="0" w:color="auto"/>
      </w:divBdr>
    </w:div>
    <w:div w:id="1480924371">
      <w:bodyDiv w:val="1"/>
      <w:marLeft w:val="0"/>
      <w:marRight w:val="0"/>
      <w:marTop w:val="0"/>
      <w:marBottom w:val="0"/>
      <w:divBdr>
        <w:top w:val="none" w:sz="0" w:space="0" w:color="auto"/>
        <w:left w:val="none" w:sz="0" w:space="0" w:color="auto"/>
        <w:bottom w:val="none" w:sz="0" w:space="0" w:color="auto"/>
        <w:right w:val="none" w:sz="0" w:space="0" w:color="auto"/>
      </w:divBdr>
    </w:div>
    <w:div w:id="1745637583">
      <w:bodyDiv w:val="1"/>
      <w:marLeft w:val="0"/>
      <w:marRight w:val="0"/>
      <w:marTop w:val="0"/>
      <w:marBottom w:val="0"/>
      <w:divBdr>
        <w:top w:val="none" w:sz="0" w:space="0" w:color="auto"/>
        <w:left w:val="none" w:sz="0" w:space="0" w:color="auto"/>
        <w:bottom w:val="none" w:sz="0" w:space="0" w:color="auto"/>
        <w:right w:val="none" w:sz="0" w:space="0" w:color="auto"/>
      </w:divBdr>
    </w:div>
    <w:div w:id="1787234950">
      <w:bodyDiv w:val="1"/>
      <w:marLeft w:val="0"/>
      <w:marRight w:val="0"/>
      <w:marTop w:val="0"/>
      <w:marBottom w:val="0"/>
      <w:divBdr>
        <w:top w:val="none" w:sz="0" w:space="0" w:color="auto"/>
        <w:left w:val="none" w:sz="0" w:space="0" w:color="auto"/>
        <w:bottom w:val="none" w:sz="0" w:space="0" w:color="auto"/>
        <w:right w:val="none" w:sz="0" w:space="0" w:color="auto"/>
      </w:divBdr>
    </w:div>
    <w:div w:id="1806970479">
      <w:bodyDiv w:val="1"/>
      <w:marLeft w:val="0"/>
      <w:marRight w:val="0"/>
      <w:marTop w:val="0"/>
      <w:marBottom w:val="0"/>
      <w:divBdr>
        <w:top w:val="none" w:sz="0" w:space="0" w:color="auto"/>
        <w:left w:val="none" w:sz="0" w:space="0" w:color="auto"/>
        <w:bottom w:val="none" w:sz="0" w:space="0" w:color="auto"/>
        <w:right w:val="none" w:sz="0" w:space="0" w:color="auto"/>
      </w:divBdr>
      <w:divsChild>
        <w:div w:id="2024551969">
          <w:marLeft w:val="0"/>
          <w:marRight w:val="0"/>
          <w:marTop w:val="0"/>
          <w:marBottom w:val="204"/>
          <w:divBdr>
            <w:top w:val="none" w:sz="0" w:space="0" w:color="auto"/>
            <w:left w:val="none" w:sz="0" w:space="0" w:color="auto"/>
            <w:bottom w:val="none" w:sz="0" w:space="0" w:color="auto"/>
            <w:right w:val="none" w:sz="0" w:space="0" w:color="auto"/>
          </w:divBdr>
        </w:div>
        <w:div w:id="596790617">
          <w:marLeft w:val="0"/>
          <w:marRight w:val="0"/>
          <w:marTop w:val="0"/>
          <w:marBottom w:val="0"/>
          <w:divBdr>
            <w:top w:val="none" w:sz="0" w:space="0" w:color="auto"/>
            <w:left w:val="none" w:sz="0" w:space="0" w:color="auto"/>
            <w:bottom w:val="none" w:sz="0" w:space="0" w:color="auto"/>
            <w:right w:val="none" w:sz="0" w:space="0" w:color="auto"/>
          </w:divBdr>
        </w:div>
      </w:divsChild>
    </w:div>
    <w:div w:id="1815637992">
      <w:bodyDiv w:val="1"/>
      <w:marLeft w:val="0"/>
      <w:marRight w:val="0"/>
      <w:marTop w:val="0"/>
      <w:marBottom w:val="0"/>
      <w:divBdr>
        <w:top w:val="none" w:sz="0" w:space="0" w:color="auto"/>
        <w:left w:val="none" w:sz="0" w:space="0" w:color="auto"/>
        <w:bottom w:val="none" w:sz="0" w:space="0" w:color="auto"/>
        <w:right w:val="none" w:sz="0" w:space="0" w:color="auto"/>
      </w:divBdr>
      <w:divsChild>
        <w:div w:id="560675807">
          <w:marLeft w:val="0"/>
          <w:marRight w:val="0"/>
          <w:marTop w:val="0"/>
          <w:marBottom w:val="0"/>
          <w:divBdr>
            <w:top w:val="none" w:sz="0" w:space="0" w:color="auto"/>
            <w:left w:val="none" w:sz="0" w:space="0" w:color="auto"/>
            <w:bottom w:val="none" w:sz="0" w:space="0" w:color="auto"/>
            <w:right w:val="none" w:sz="0" w:space="0" w:color="auto"/>
          </w:divBdr>
        </w:div>
      </w:divsChild>
    </w:div>
    <w:div w:id="1837644630">
      <w:bodyDiv w:val="1"/>
      <w:marLeft w:val="0"/>
      <w:marRight w:val="0"/>
      <w:marTop w:val="0"/>
      <w:marBottom w:val="0"/>
      <w:divBdr>
        <w:top w:val="none" w:sz="0" w:space="0" w:color="auto"/>
        <w:left w:val="none" w:sz="0" w:space="0" w:color="auto"/>
        <w:bottom w:val="none" w:sz="0" w:space="0" w:color="auto"/>
        <w:right w:val="none" w:sz="0" w:space="0" w:color="auto"/>
      </w:divBdr>
    </w:div>
    <w:div w:id="19576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ru/laws/gk/lawgk1064.html" TargetMode="External"/><Relationship Id="rId3" Type="http://schemas.openxmlformats.org/officeDocument/2006/relationships/settings" Target="settings.xml"/><Relationship Id="rId7" Type="http://schemas.openxmlformats.org/officeDocument/2006/relationships/hyperlink" Target="http://www.ville.ru/laws/gk/lawgk10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67</cp:revision>
  <dcterms:created xsi:type="dcterms:W3CDTF">2015-06-30T14:50:00Z</dcterms:created>
  <dcterms:modified xsi:type="dcterms:W3CDTF">2015-07-21T11:15:00Z</dcterms:modified>
</cp:coreProperties>
</file>