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54" w:rsidRPr="007B5C54" w:rsidRDefault="007B5C54" w:rsidP="007B5C54">
      <w:pPr>
        <w:shd w:val="clear" w:color="auto" w:fill="E6E6E6"/>
        <w:spacing w:after="0" w:line="245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12.5.</w:t>
      </w:r>
      <w:r w:rsidRPr="007B5C54">
        <w:rPr>
          <w:rFonts w:ascii="Tahoma" w:eastAsia="Times New Roman" w:hAnsi="Tahoma" w:cs="Tahoma"/>
          <w:color w:val="000000"/>
          <w:sz w:val="24"/>
          <w:szCs w:val="24"/>
        </w:rPr>
        <w:t> Стоянка запрещается:</w:t>
      </w:r>
    </w:p>
    <w:p w:rsidR="007B5C54" w:rsidRPr="007B5C54" w:rsidRDefault="007B5C54" w:rsidP="007B5C54">
      <w:pPr>
        <w:numPr>
          <w:ilvl w:val="0"/>
          <w:numId w:val="1"/>
        </w:numPr>
        <w:shd w:val="clear" w:color="auto" w:fill="E6E6E6"/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color w:val="000000"/>
          <w:sz w:val="24"/>
          <w:szCs w:val="24"/>
        </w:rPr>
        <w:t>в местах, где запрещена остановка;</w:t>
      </w:r>
    </w:p>
    <w:p w:rsidR="007B5C54" w:rsidRPr="007B5C54" w:rsidRDefault="007B5C54" w:rsidP="007B5C54">
      <w:pPr>
        <w:shd w:val="clear" w:color="auto" w:fill="E6E6E6"/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Комментарий: Список мест, в которых запрещена остановка, </w:t>
      </w:r>
      <w:proofErr w:type="gramStart"/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перечислены</w:t>
      </w:r>
      <w:proofErr w:type="gramEnd"/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в пункте 12.4 Правил. Естественно, в этих местах запрещается и стоянка. Кроме того, стоянка запрещена еще в двух местах, названных в данном пункте, и, конечно, в зоне действия дорожных знаков 3.27-3.30, а также в местах, где нанесена разметка 1.4 и 1.10. Стоянка ТС так же, как и остановка, должна выполняться на обочине дороги и только при ее отсутствии - на краю проезжей части. Вне населенного пункта дорога не имеет тротуаров, поэтому стоянка транспортных средств на проезжей части в общем случае допускается, если обочина </w:t>
      </w:r>
      <w:proofErr w:type="gramStart"/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отсутствует</w:t>
      </w:r>
      <w:proofErr w:type="gramEnd"/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либо ее ширина недостаточна для размещения транспортного средства. Однако на дорогах, обозначенных знаком 2.1 "Главная дорога", при отсутствии обочины транспортное средство для стоянки должно быть отведено за пределы дороги.</w:t>
      </w:r>
    </w:p>
    <w:p w:rsidR="007B5C54" w:rsidRPr="007B5C54" w:rsidRDefault="007B5C54" w:rsidP="007B5C54">
      <w:pPr>
        <w:numPr>
          <w:ilvl w:val="0"/>
          <w:numId w:val="2"/>
        </w:numPr>
        <w:shd w:val="clear" w:color="auto" w:fill="E6E6E6"/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color w:val="000000"/>
          <w:sz w:val="24"/>
          <w:szCs w:val="24"/>
        </w:rPr>
        <w:t>вне населенных пунктов на проезжей части дороги, обозначенных знаком 2.1 "Главная дорога":</w:t>
      </w:r>
    </w:p>
    <w:p w:rsidR="007B5C54" w:rsidRPr="007B5C54" w:rsidRDefault="007B5C54" w:rsidP="007B5C54">
      <w:pPr>
        <w:shd w:val="clear" w:color="auto" w:fill="E6E6E6"/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Комментарий: Знак 2.1 устанавливается в начале дороги или в том месте, начиная с которого, дорога имеет статус главной. Вне населенных пунктов этот знак может не повторяться. Водители, которые выехали на дорогу не в ее начале и поэтому не видели знак 2.1, информацию о том, что они находятся на главной дороге, получают, ориентируясь на знаки 2.3.1-2.3.3, установленные перед перекрестками, либо знаки 2.4 или 2.5, установленные совместно с табличкой 8.13.</w:t>
      </w:r>
    </w:p>
    <w:p w:rsidR="007B5C54" w:rsidRPr="007B5C54" w:rsidRDefault="007B5C54" w:rsidP="007B5C54">
      <w:pPr>
        <w:numPr>
          <w:ilvl w:val="0"/>
          <w:numId w:val="3"/>
        </w:numPr>
        <w:shd w:val="clear" w:color="auto" w:fill="E6E6E6"/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color w:val="000000"/>
          <w:sz w:val="24"/>
          <w:szCs w:val="24"/>
        </w:rPr>
        <w:t>ближе 50 м от железнодорожных переездов.</w:t>
      </w:r>
    </w:p>
    <w:p w:rsidR="007B5C54" w:rsidRPr="007B5C54" w:rsidRDefault="007B5C54" w:rsidP="007B5C54">
      <w:pPr>
        <w:shd w:val="clear" w:color="auto" w:fill="E6E6E6"/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Комментарий: Зону запрещения стоянки от железнодорожного переезда в данном случае можно исчислять от места остановки транспортных сре</w:t>
      </w:r>
      <w:proofErr w:type="gramStart"/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дств пр</w:t>
      </w:r>
      <w:proofErr w:type="gramEnd"/>
      <w:r w:rsidRPr="007B5C5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 запрещении движения через переезд. Стоянка запрещается на расстоянии 50 м в обе стороны от этого места.</w:t>
      </w:r>
    </w:p>
    <w:p w:rsidR="0086538D" w:rsidRPr="007B5C54" w:rsidRDefault="0086538D" w:rsidP="007B5C54">
      <w:pPr>
        <w:jc w:val="center"/>
        <w:rPr>
          <w:sz w:val="24"/>
          <w:szCs w:val="24"/>
        </w:rPr>
      </w:pPr>
    </w:p>
    <w:sectPr w:rsidR="0086538D" w:rsidRPr="007B5C54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6477D"/>
    <w:rsid w:val="00081052"/>
    <w:rsid w:val="000F0DA1"/>
    <w:rsid w:val="00104420"/>
    <w:rsid w:val="001E6A8E"/>
    <w:rsid w:val="002C17ED"/>
    <w:rsid w:val="00300450"/>
    <w:rsid w:val="003F2BAB"/>
    <w:rsid w:val="00411929"/>
    <w:rsid w:val="004525CF"/>
    <w:rsid w:val="004A51B2"/>
    <w:rsid w:val="00513F8F"/>
    <w:rsid w:val="005E7B61"/>
    <w:rsid w:val="00722740"/>
    <w:rsid w:val="00792FF5"/>
    <w:rsid w:val="007B5C54"/>
    <w:rsid w:val="007F6823"/>
    <w:rsid w:val="0086538D"/>
    <w:rsid w:val="008A1BDD"/>
    <w:rsid w:val="00911B94"/>
    <w:rsid w:val="009867D5"/>
    <w:rsid w:val="009B0F73"/>
    <w:rsid w:val="009B69C5"/>
    <w:rsid w:val="009F7383"/>
    <w:rsid w:val="00A04199"/>
    <w:rsid w:val="00A222E7"/>
    <w:rsid w:val="00A35AAD"/>
    <w:rsid w:val="00A37D92"/>
    <w:rsid w:val="00B25637"/>
    <w:rsid w:val="00C61E7C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37</cp:revision>
  <dcterms:created xsi:type="dcterms:W3CDTF">2015-06-30T14:50:00Z</dcterms:created>
  <dcterms:modified xsi:type="dcterms:W3CDTF">2015-07-21T09:01:00Z</dcterms:modified>
</cp:coreProperties>
</file>