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3EF" w:rsidRDefault="001303EF" w:rsidP="001303EF">
      <w:pPr>
        <w:pStyle w:val="a3"/>
        <w:shd w:val="clear" w:color="auto" w:fill="FFFFFF"/>
        <w:spacing w:before="0" w:beforeAutospacing="0" w:after="60" w:afterAutospacing="0"/>
        <w:jc w:val="center"/>
        <w:rPr>
          <w:rFonts w:ascii="Helvetica" w:hAnsi="Helvetica" w:cs="Helvetica"/>
          <w:color w:val="333333"/>
          <w:sz w:val="14"/>
          <w:szCs w:val="14"/>
        </w:rPr>
      </w:pPr>
      <w:r>
        <w:rPr>
          <w:rStyle w:val="a4"/>
          <w:rFonts w:ascii="Courier New" w:hAnsi="Courier New" w:cs="Courier New"/>
          <w:color w:val="000080"/>
          <w:sz w:val="27"/>
          <w:szCs w:val="27"/>
        </w:rPr>
        <w:t>Разъяснение Минпромторга России о внесении сведений о номере УВЭОС ("системы" или "устройства" ЭРА ГЛОНАСС) в раздел "Особые отметки" Паспорта Транспортного Средства.</w:t>
      </w:r>
    </w:p>
    <w:p w:rsidR="001303EF" w:rsidRDefault="001303EF" w:rsidP="001303EF">
      <w:pPr>
        <w:pStyle w:val="a3"/>
        <w:shd w:val="clear" w:color="auto" w:fill="FFFFFF"/>
        <w:spacing w:before="0" w:beforeAutospacing="0" w:after="60" w:afterAutospacing="0"/>
        <w:jc w:val="both"/>
        <w:rPr>
          <w:rFonts w:ascii="Courier New" w:hAnsi="Courier New" w:cs="Courier New"/>
          <w:color w:val="000000"/>
        </w:rPr>
      </w:pPr>
    </w:p>
    <w:p w:rsidR="001303EF" w:rsidRDefault="001303EF" w:rsidP="001303EF">
      <w:pPr>
        <w:pStyle w:val="a3"/>
        <w:shd w:val="clear" w:color="auto" w:fill="FFFFFF"/>
        <w:spacing w:before="0" w:beforeAutospacing="0" w:after="60" w:afterAutospacing="0"/>
        <w:jc w:val="both"/>
        <w:rPr>
          <w:rFonts w:ascii="Helvetica" w:hAnsi="Helvetica" w:cs="Helvetica"/>
          <w:color w:val="333333"/>
          <w:sz w:val="14"/>
          <w:szCs w:val="14"/>
        </w:rPr>
      </w:pPr>
      <w:r>
        <w:rPr>
          <w:rStyle w:val="a4"/>
          <w:rFonts w:ascii="Helvetica" w:hAnsi="Helvetica" w:cs="Helvetica"/>
          <w:color w:val="333333"/>
          <w:sz w:val="14"/>
          <w:szCs w:val="14"/>
        </w:rPr>
        <w:t>№ МА-6441520 от 11.10.2016 г.</w:t>
      </w:r>
    </w:p>
    <w:p w:rsidR="001303EF" w:rsidRDefault="001303EF" w:rsidP="001303EF">
      <w:pPr>
        <w:pStyle w:val="a3"/>
        <w:shd w:val="clear" w:color="auto" w:fill="FFFFFF"/>
        <w:spacing w:before="0" w:beforeAutospacing="0" w:after="60" w:afterAutospacing="0"/>
        <w:jc w:val="both"/>
        <w:rPr>
          <w:rFonts w:ascii="Helvetica" w:hAnsi="Helvetica" w:cs="Helvetica"/>
          <w:color w:val="333333"/>
          <w:sz w:val="14"/>
          <w:szCs w:val="14"/>
        </w:rPr>
      </w:pPr>
      <w:r>
        <w:rPr>
          <w:rStyle w:val="a4"/>
          <w:rFonts w:ascii="Helvetica" w:hAnsi="Helvetica" w:cs="Helvetica"/>
          <w:color w:val="333333"/>
          <w:sz w:val="14"/>
          <w:szCs w:val="14"/>
        </w:rPr>
        <w:t> </w:t>
      </w:r>
    </w:p>
    <w:p w:rsidR="001303EF" w:rsidRDefault="001303EF" w:rsidP="001303EF">
      <w:pPr>
        <w:pStyle w:val="a3"/>
        <w:shd w:val="clear" w:color="auto" w:fill="FFFFFF"/>
        <w:spacing w:before="0" w:beforeAutospacing="0" w:after="60" w:afterAutospacing="0"/>
        <w:jc w:val="both"/>
        <w:rPr>
          <w:rFonts w:ascii="Helvetica" w:hAnsi="Helvetica" w:cs="Helvetica"/>
          <w:color w:val="333333"/>
          <w:sz w:val="14"/>
          <w:szCs w:val="14"/>
        </w:rPr>
      </w:pPr>
      <w:r>
        <w:rPr>
          <w:rFonts w:ascii="Helvetica" w:hAnsi="Helvetica" w:cs="Helvetica"/>
          <w:color w:val="333333"/>
          <w:sz w:val="14"/>
          <w:szCs w:val="14"/>
        </w:rPr>
        <w:t>В связи с вступлением в силу с 01 января 2017 г. требований технического регламента Таможенного союза «О безопасности колесных транспортных средств» (ТРТС 018/2011), утвержденного Решением Комиссии Таможенного союза от 09 декабря 2011 г. № 877 (далее — технический регламент), по оснащению транспортных средств устройствами (системами) вызова экстренных служб, подтверждение соответствия которым необходимо при осуществлении проверки выполнения требований в форме одобрения типа (далее — одобрение типа) в отношении всех типов транспортных средств, Минпромторг России полагает необходимым сообщить следующее.</w:t>
      </w:r>
    </w:p>
    <w:p w:rsidR="001303EF" w:rsidRDefault="001303EF" w:rsidP="001303EF">
      <w:pPr>
        <w:pStyle w:val="a3"/>
        <w:shd w:val="clear" w:color="auto" w:fill="FFFFFF"/>
        <w:spacing w:before="0" w:beforeAutospacing="0" w:after="60" w:afterAutospacing="0"/>
        <w:jc w:val="both"/>
        <w:rPr>
          <w:rFonts w:ascii="Helvetica" w:hAnsi="Helvetica" w:cs="Helvetica"/>
          <w:color w:val="333333"/>
          <w:sz w:val="14"/>
          <w:szCs w:val="14"/>
        </w:rPr>
      </w:pPr>
      <w:r>
        <w:rPr>
          <w:rFonts w:ascii="Helvetica" w:hAnsi="Helvetica" w:cs="Helvetica"/>
          <w:color w:val="333333"/>
          <w:sz w:val="14"/>
          <w:szCs w:val="14"/>
        </w:rPr>
        <w:t>В соответствии с пунктом 52 приложения № 1 Положения о паспортах транспортных средств и паспортах шасси транспортных средств, утвержденного Приказом МВД России, Минпромэнерго России, Минэкономразвития России от 23 июня 2005 г. № 496/192/134 (далее — приложение № 1 к приказу) в разделе «Особые отметки» паспорта транспортного средства указываются сведения об идентификационном номере устройства вызова экстренных оперативных служб. С 01 января 2017 г. внесение указанных сведений, содержащих основания для оформления и выдачи паспорта транспортного средства, является обязательным для всех вновь выпускаемых в обращение транспортных средств в соответствии с требованиями технического регламента.</w:t>
      </w:r>
    </w:p>
    <w:p w:rsidR="001303EF" w:rsidRDefault="001303EF" w:rsidP="001303EF">
      <w:pPr>
        <w:pStyle w:val="a3"/>
        <w:shd w:val="clear" w:color="auto" w:fill="FFFFFF"/>
        <w:spacing w:before="0" w:beforeAutospacing="0" w:after="60" w:afterAutospacing="0"/>
        <w:jc w:val="both"/>
        <w:rPr>
          <w:rFonts w:ascii="Helvetica" w:hAnsi="Helvetica" w:cs="Helvetica"/>
          <w:color w:val="333333"/>
          <w:sz w:val="14"/>
          <w:szCs w:val="14"/>
        </w:rPr>
      </w:pPr>
      <w:r>
        <w:rPr>
          <w:rFonts w:ascii="Helvetica" w:hAnsi="Helvetica" w:cs="Helvetica"/>
          <w:color w:val="333333"/>
          <w:sz w:val="14"/>
          <w:szCs w:val="14"/>
        </w:rPr>
        <w:t>Паспорта выдаются на транспортные средства при наличии документов, удостоверяющих соответствие транспортных средств требованиям, установленным техническим регламентом. Документом, удостоверяющим соответствие требованиям технического регламента при выпуске в обращение транспортных средств, оценка соответствия которых проводилась в форме одобрения типа, является одобрение типа транспортного средства (далее — ОTТС) (абзац 2 пункта 8 технического регламента).</w:t>
      </w:r>
    </w:p>
    <w:p w:rsidR="001303EF" w:rsidRDefault="001303EF" w:rsidP="001303EF">
      <w:pPr>
        <w:pStyle w:val="a3"/>
        <w:shd w:val="clear" w:color="auto" w:fill="FFFFFF"/>
        <w:spacing w:before="0" w:beforeAutospacing="0" w:after="60" w:afterAutospacing="0"/>
        <w:jc w:val="both"/>
        <w:rPr>
          <w:rFonts w:ascii="Helvetica" w:hAnsi="Helvetica" w:cs="Helvetica"/>
          <w:color w:val="333333"/>
          <w:sz w:val="14"/>
          <w:szCs w:val="14"/>
        </w:rPr>
      </w:pPr>
      <w:r>
        <w:rPr>
          <w:rFonts w:ascii="Helvetica" w:hAnsi="Helvetica" w:cs="Helvetica"/>
          <w:color w:val="333333"/>
          <w:sz w:val="14"/>
          <w:szCs w:val="14"/>
        </w:rPr>
        <w:t>В соответствии с подпунктом 5 пункта 28 технического регламента при оформлении органом по сертификации сертификатов соответствия транспортного средства отдельным требованиям при проведении одобрения типа применяется перечень требований, установленных в отношении типов выпускаемых в обращение транспортных средств (шасси) (приложение № 2 к техническому регламенту). Заключение органа по сертификации о возможности оформления OTTC подготавливается при условии соответствия транспортного средства требованиям технического регламента, действующим на момент оформления ОТТС (подпункт 6 пункта 28 технического регламента).</w:t>
      </w:r>
    </w:p>
    <w:p w:rsidR="001303EF" w:rsidRDefault="001303EF" w:rsidP="001303EF">
      <w:pPr>
        <w:pStyle w:val="a3"/>
        <w:shd w:val="clear" w:color="auto" w:fill="FFFFFF"/>
        <w:spacing w:before="0" w:beforeAutospacing="0" w:after="60" w:afterAutospacing="0"/>
        <w:jc w:val="both"/>
        <w:rPr>
          <w:rFonts w:ascii="Helvetica" w:hAnsi="Helvetica" w:cs="Helvetica"/>
          <w:color w:val="333333"/>
          <w:sz w:val="14"/>
          <w:szCs w:val="14"/>
        </w:rPr>
      </w:pPr>
      <w:r>
        <w:rPr>
          <w:rFonts w:ascii="Helvetica" w:hAnsi="Helvetica" w:cs="Helvetica"/>
          <w:color w:val="333333"/>
          <w:sz w:val="14"/>
          <w:szCs w:val="14"/>
        </w:rPr>
        <w:t>Следует обратить внимание на то, что ОТТС, оформленные в соответствии с процедурами, предусмотренными техническим регламентом до вступления в силу новых требований, в том числе требований об оснащении транспортных средств устройствами (системами) вызова экстренных оперативных служб, действительны до окончания срока их действия, и в период действия таких ОТТС допускается выпуск в обращение транспортных средств, соответствующих конструктивным параметрам и характеристикам, зафиксированным в них (пункт 105 технического регламента).</w:t>
      </w:r>
    </w:p>
    <w:p w:rsidR="001303EF" w:rsidRDefault="001303EF" w:rsidP="001303EF">
      <w:pPr>
        <w:pStyle w:val="a3"/>
        <w:shd w:val="clear" w:color="auto" w:fill="FFFFFF"/>
        <w:spacing w:before="0" w:beforeAutospacing="0" w:after="60" w:afterAutospacing="0"/>
        <w:jc w:val="both"/>
        <w:rPr>
          <w:rFonts w:ascii="Helvetica" w:hAnsi="Helvetica" w:cs="Helvetica"/>
          <w:color w:val="333333"/>
          <w:sz w:val="14"/>
          <w:szCs w:val="14"/>
        </w:rPr>
      </w:pPr>
      <w:r>
        <w:rPr>
          <w:rFonts w:ascii="Helvetica" w:hAnsi="Helvetica" w:cs="Helvetica"/>
          <w:color w:val="333333"/>
          <w:sz w:val="14"/>
          <w:szCs w:val="14"/>
        </w:rPr>
        <w:t>В свою очередь, в случае изменения конструкции, выпускаемых в обращение в период действия OTTC транспортных средств необходимо распространение его действия на новые модификации. При распространении ранее оформленных ОТТС в соответствии с абзацем 2 пункта 6 приложения № 2 к техническому регламенту уровень требований определяется на момент оформления первоначальных документов, за исключением требований к выбросам.</w:t>
      </w:r>
    </w:p>
    <w:p w:rsidR="001303EF" w:rsidRDefault="001303EF" w:rsidP="001303EF">
      <w:pPr>
        <w:pStyle w:val="a3"/>
        <w:shd w:val="clear" w:color="auto" w:fill="FFFFFF"/>
        <w:spacing w:before="0" w:beforeAutospacing="0" w:after="60" w:afterAutospacing="0"/>
        <w:jc w:val="both"/>
        <w:rPr>
          <w:rFonts w:ascii="Helvetica" w:hAnsi="Helvetica" w:cs="Helvetica"/>
          <w:color w:val="333333"/>
          <w:sz w:val="14"/>
          <w:szCs w:val="14"/>
        </w:rPr>
      </w:pPr>
      <w:r>
        <w:rPr>
          <w:rFonts w:ascii="Helvetica" w:hAnsi="Helvetica" w:cs="Helvetica"/>
          <w:color w:val="333333"/>
          <w:sz w:val="14"/>
          <w:szCs w:val="14"/>
        </w:rPr>
        <w:t>В соответствии с пунктом 60 технического регламента срок действия распространенного ОТТС ограничивается сроком действия исходного ОТТС при условии подтверждения соответствия новых модификаций требованиям технического регламента, действовавшим на дату оформления OTTC. Срок действия распространенного ОТТС устанавливается в соответствии с пунктом 42 технического регламента (три года) в случае подтверждения соответствия всех модификаций требованиям технического регламента, установленным на дату регистрации распространенного ОТТС.</w:t>
      </w:r>
    </w:p>
    <w:p w:rsidR="001303EF" w:rsidRDefault="001303EF" w:rsidP="001303EF">
      <w:pPr>
        <w:pStyle w:val="a3"/>
        <w:shd w:val="clear" w:color="auto" w:fill="FFFFFF"/>
        <w:spacing w:before="0" w:beforeAutospacing="0" w:after="60" w:afterAutospacing="0"/>
        <w:jc w:val="both"/>
        <w:rPr>
          <w:rFonts w:ascii="Helvetica" w:hAnsi="Helvetica" w:cs="Helvetica"/>
          <w:color w:val="333333"/>
          <w:sz w:val="14"/>
          <w:szCs w:val="14"/>
        </w:rPr>
      </w:pPr>
      <w:r>
        <w:rPr>
          <w:rFonts w:ascii="Helvetica" w:hAnsi="Helvetica" w:cs="Helvetica"/>
          <w:color w:val="333333"/>
          <w:sz w:val="14"/>
          <w:szCs w:val="14"/>
        </w:rPr>
        <w:t>Продление OTTC на новый срок, не превышающий трех лет, осуществляется в случае соответствия типа транспортного средства перечню требований, действующих на момент оформления нового OTTC (пункты 62-65 технического регламента).</w:t>
      </w:r>
    </w:p>
    <w:p w:rsidR="001303EF" w:rsidRDefault="001303EF" w:rsidP="001303EF">
      <w:pPr>
        <w:pStyle w:val="a3"/>
        <w:shd w:val="clear" w:color="auto" w:fill="FFFFFF"/>
        <w:spacing w:before="0" w:beforeAutospacing="0" w:after="60" w:afterAutospacing="0"/>
        <w:jc w:val="both"/>
        <w:rPr>
          <w:rFonts w:ascii="Helvetica" w:hAnsi="Helvetica" w:cs="Helvetica"/>
          <w:color w:val="333333"/>
          <w:sz w:val="14"/>
          <w:szCs w:val="14"/>
        </w:rPr>
      </w:pPr>
      <w:r>
        <w:rPr>
          <w:rFonts w:ascii="Helvetica" w:hAnsi="Helvetica" w:cs="Helvetica"/>
          <w:color w:val="333333"/>
          <w:sz w:val="14"/>
          <w:szCs w:val="14"/>
        </w:rPr>
        <w:t>В соответствии с пунктом 7 приложения № 1 к приказу подразделениями Госавтоинспекции паспорта выдаются на транспортные средства, в том числе, отнесенные к единичным транспортным средствам, изготовленным в Российской Федерации или выпускаемым в обращение из числа ранее поставленных по государственному оборонному заказу при наличии выданного на них свидетельства о безопасности конструкции транспортного средства.</w:t>
      </w:r>
    </w:p>
    <w:p w:rsidR="001303EF" w:rsidRDefault="001303EF" w:rsidP="001303EF">
      <w:pPr>
        <w:pStyle w:val="a3"/>
        <w:shd w:val="clear" w:color="auto" w:fill="FFFFFF"/>
        <w:spacing w:before="0" w:beforeAutospacing="0" w:after="60" w:afterAutospacing="0"/>
        <w:jc w:val="both"/>
        <w:rPr>
          <w:rFonts w:ascii="Helvetica" w:hAnsi="Helvetica" w:cs="Helvetica"/>
          <w:color w:val="333333"/>
          <w:sz w:val="14"/>
          <w:szCs w:val="14"/>
        </w:rPr>
      </w:pPr>
      <w:r>
        <w:rPr>
          <w:rFonts w:ascii="Helvetica" w:hAnsi="Helvetica" w:cs="Helvetica"/>
          <w:color w:val="333333"/>
          <w:sz w:val="14"/>
          <w:szCs w:val="14"/>
        </w:rPr>
        <w:t>Таким образом, по мнению Минпромторга России, выпускаемые в обращение после 01 января 2017 г. типы транспортных средств, на которые действует ОТТС, должны оснащаться устройствами (системами) вызова экстренных оперативных служб при условии, что указанное оснащение зафиксировано в действующем OTTC в графе «Оборудование транспортного средства». В случае, если в указанной графе ОТТС отражено, что устройство (система) вызова экстренных оперативных служб устанавливается по заказу, то на некоторых выпускаемых в обращение модификациях такое оборудование может отсутствовать.</w:t>
      </w:r>
    </w:p>
    <w:p w:rsidR="001303EF" w:rsidRDefault="001303EF" w:rsidP="001303EF">
      <w:pPr>
        <w:pStyle w:val="a3"/>
        <w:shd w:val="clear" w:color="auto" w:fill="FFFFFF"/>
        <w:spacing w:before="0" w:beforeAutospacing="0" w:after="60" w:afterAutospacing="0"/>
        <w:jc w:val="both"/>
        <w:rPr>
          <w:rFonts w:ascii="Helvetica" w:hAnsi="Helvetica" w:cs="Helvetica"/>
          <w:color w:val="333333"/>
          <w:sz w:val="14"/>
          <w:szCs w:val="14"/>
        </w:rPr>
      </w:pPr>
      <w:r>
        <w:rPr>
          <w:rFonts w:ascii="Helvetica" w:hAnsi="Helvetica" w:cs="Helvetica"/>
          <w:color w:val="333333"/>
          <w:sz w:val="14"/>
          <w:szCs w:val="14"/>
        </w:rPr>
        <w:t>С учетом изложенного выше, Минпромторг России считает, что при осуществлении деятельности подразделений МВД России в соответствии с Административным регламентом МВД России по предоставлению государственной услуги по регистрации автомототранспортных средств и прицепов к ним, утвержденным приказом МВД России от 07 августа 2013 г. № 605, и Положением о паспортах транспортных средств и паспортах шасси транспортных средств, утвержденным приказом МВД России, Минпромэнерго России, Минэкономразвития России от 23 июня 2005 г. № 496/192/134, необходимо руководствоваться приведенными в настоящем письме положениями технического регламента.</w:t>
      </w:r>
    </w:p>
    <w:p w:rsidR="001303EF" w:rsidRDefault="001303EF" w:rsidP="001303EF">
      <w:pPr>
        <w:pStyle w:val="a3"/>
        <w:shd w:val="clear" w:color="auto" w:fill="FFFFFF"/>
        <w:spacing w:before="0" w:beforeAutospacing="0" w:after="60" w:afterAutospacing="0"/>
        <w:jc w:val="both"/>
        <w:rPr>
          <w:rFonts w:ascii="Helvetica" w:hAnsi="Helvetica" w:cs="Helvetica"/>
          <w:color w:val="333333"/>
          <w:sz w:val="14"/>
          <w:szCs w:val="14"/>
        </w:rPr>
      </w:pPr>
      <w:r>
        <w:rPr>
          <w:rFonts w:ascii="Helvetica" w:hAnsi="Helvetica" w:cs="Helvetica"/>
          <w:color w:val="333333"/>
          <w:sz w:val="14"/>
          <w:szCs w:val="14"/>
        </w:rPr>
        <w:t>Одновременно с этим предлагаем учитывать фактическое наличие устройства (системы) вызова экстренных оперативных служб на транспортном средстве, а также соответствие транспортного средства требованиям, заявленным в ОТТС.</w:t>
      </w:r>
    </w:p>
    <w:p w:rsidR="001303EF" w:rsidRDefault="001303EF" w:rsidP="001303EF">
      <w:pPr>
        <w:pStyle w:val="a3"/>
        <w:shd w:val="clear" w:color="auto" w:fill="FFFFFF"/>
        <w:spacing w:before="0" w:beforeAutospacing="0" w:after="60" w:afterAutospacing="0"/>
        <w:jc w:val="both"/>
        <w:rPr>
          <w:rFonts w:ascii="Helvetica" w:hAnsi="Helvetica" w:cs="Helvetica"/>
          <w:color w:val="333333"/>
          <w:sz w:val="14"/>
          <w:szCs w:val="14"/>
        </w:rPr>
      </w:pPr>
      <w:r>
        <w:rPr>
          <w:rFonts w:ascii="Helvetica" w:hAnsi="Helvetica" w:cs="Helvetica"/>
          <w:color w:val="333333"/>
          <w:sz w:val="14"/>
          <w:szCs w:val="14"/>
        </w:rPr>
        <w:t>Настоящее письмо Минпромторга России не содержит правовых норм или общих правил, конкретизирующих нормативные предписания технического регламента, и не является нормативным правовым актом. Письменные разъяснения Минпромторга России по вопросам применения технического регламента имеют информационно-разъяснительный характер и не препятствуют руководствоваться нормами технического регламента в понимании, отличающемся от трактовки, изложенной в настоящем письме.</w:t>
      </w:r>
    </w:p>
    <w:p w:rsidR="00F03626" w:rsidRDefault="00F03626"/>
    <w:sectPr w:rsidR="00F036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1303EF"/>
    <w:rsid w:val="001303EF"/>
    <w:rsid w:val="00F03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03E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303EF"/>
    <w:rPr>
      <w:b/>
      <w:bCs/>
    </w:rPr>
  </w:style>
</w:styles>
</file>

<file path=word/webSettings.xml><?xml version="1.0" encoding="utf-8"?>
<w:webSettings xmlns:r="http://schemas.openxmlformats.org/officeDocument/2006/relationships" xmlns:w="http://schemas.openxmlformats.org/wordprocessingml/2006/main">
  <w:divs>
    <w:div w:id="140418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984</Words>
  <Characters>5613</Characters>
  <Application>Microsoft Office Word</Application>
  <DocSecurity>0</DocSecurity>
  <Lines>46</Lines>
  <Paragraphs>13</Paragraphs>
  <ScaleCrop>false</ScaleCrop>
  <Company>SPecialiST RePack</Company>
  <LinksUpToDate>false</LinksUpToDate>
  <CharactersWithSpaces>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2017-12-06T16:10:00Z</dcterms:created>
  <dcterms:modified xsi:type="dcterms:W3CDTF">2017-12-06T16:10:00Z</dcterms:modified>
</cp:coreProperties>
</file>